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Pr="00501CE0" w:rsidRDefault="00011212">
            <w:pPr>
              <w:jc w:val="both"/>
              <w:rPr>
                <w:rFonts w:ascii="Arial" w:hAnsi="Arial"/>
                <w:b/>
                <w:bCs/>
                <w:sz w:val="26"/>
                <w:szCs w:val="26"/>
              </w:rPr>
            </w:pPr>
            <w:bookmarkStart w:id="0" w:name="_GoBack"/>
            <w:bookmarkEnd w:id="0"/>
            <w:r w:rsidRPr="00501CE0">
              <w:rPr>
                <w:rFonts w:ascii="Arial" w:hAnsi="Arial" w:hint="cs"/>
                <w:b/>
                <w:bCs/>
                <w:sz w:val="26"/>
                <w:szCs w:val="26"/>
                <w:rtl/>
              </w:rPr>
              <w:t>ב</w:t>
            </w:r>
            <w:r w:rsidRPr="00501CE0">
              <w:rPr>
                <w:rFonts w:ascii="Arial" w:hAnsi="Arial"/>
                <w:b/>
                <w:bCs/>
                <w:sz w:val="26"/>
                <w:szCs w:val="26"/>
                <w:rtl/>
              </w:rPr>
              <w:t xml:space="preserve">פני </w:t>
            </w:r>
          </w:p>
        </w:tc>
        <w:tc>
          <w:tcPr>
            <w:tcW w:w="8077" w:type="dxa"/>
            <w:gridSpan w:val="2"/>
          </w:tcPr>
          <w:p w:rsidR="002914D6" w:rsidRPr="00501CE0" w:rsidRDefault="00011212">
            <w:pPr>
              <w:rPr>
                <w:rFonts w:ascii="Arial" w:hAnsi="Arial"/>
                <w:b/>
                <w:bCs/>
                <w:sz w:val="26"/>
                <w:szCs w:val="26"/>
                <w:rtl/>
              </w:rPr>
            </w:pPr>
            <w:r w:rsidRPr="00501CE0">
              <w:rPr>
                <w:rFonts w:ascii="Arial" w:hAnsi="Arial" w:hint="cs"/>
                <w:b/>
                <w:bCs/>
                <w:sz w:val="26"/>
                <w:szCs w:val="26"/>
                <w:rtl/>
              </w:rPr>
              <w:t>כב' ה</w:t>
            </w:r>
            <w:sdt>
              <w:sdtPr>
                <w:rPr>
                  <w:sz w:val="26"/>
                  <w:szCs w:val="26"/>
                  <w:rtl/>
                </w:rPr>
                <w:alias w:val="1574"/>
                <w:tag w:val="1574"/>
                <w:id w:val="490682261"/>
                <w:text w:multiLine="1"/>
              </w:sdtPr>
              <w:sdtEndPr/>
              <w:sdtContent>
                <w:r w:rsidRPr="00501CE0">
                  <w:rPr>
                    <w:rFonts w:ascii="Arial" w:hAnsi="Arial"/>
                    <w:b/>
                    <w:bCs/>
                    <w:sz w:val="26"/>
                    <w:szCs w:val="26"/>
                    <w:rtl/>
                  </w:rPr>
                  <w:t>שופטת</w:t>
                </w:r>
              </w:sdtContent>
            </w:sdt>
            <w:r w:rsidRPr="00501CE0">
              <w:rPr>
                <w:rFonts w:ascii="Arial" w:hAnsi="Arial" w:hint="cs"/>
                <w:b/>
                <w:bCs/>
                <w:sz w:val="26"/>
                <w:szCs w:val="26"/>
                <w:rtl/>
              </w:rPr>
              <w:t xml:space="preserve">  </w:t>
            </w:r>
            <w:sdt>
              <w:sdtPr>
                <w:rPr>
                  <w:sz w:val="26"/>
                  <w:szCs w:val="26"/>
                  <w:rtl/>
                </w:rPr>
                <w:alias w:val="1573"/>
                <w:tag w:val="1573"/>
                <w:id w:val="-1842311034"/>
                <w:text w:multiLine="1"/>
              </w:sdtPr>
              <w:sdtEndPr/>
              <w:sdtContent>
                <w:r w:rsidRPr="00501CE0">
                  <w:rPr>
                    <w:rFonts w:ascii="Arial" w:hAnsi="Arial"/>
                    <w:b/>
                    <w:bCs/>
                    <w:sz w:val="26"/>
                    <w:szCs w:val="26"/>
                    <w:rtl/>
                  </w:rPr>
                  <w:t>תמר סנונית פורר</w:t>
                </w:r>
              </w:sdtContent>
            </w:sdt>
          </w:p>
          <w:p w:rsidR="002914D6" w:rsidRPr="00501CE0" w:rsidRDefault="002914D6">
            <w:pPr>
              <w:rPr>
                <w:rFonts w:ascii="Arial" w:hAnsi="Arial" w:cs="FrankRuehl"/>
                <w:sz w:val="26"/>
                <w:szCs w:val="26"/>
                <w:highlight w:val="yellow"/>
              </w:rPr>
            </w:pPr>
          </w:p>
        </w:tc>
      </w:tr>
      <w:tr w:rsidR="002914D6">
        <w:trPr>
          <w:jc w:val="center"/>
        </w:trPr>
        <w:tc>
          <w:tcPr>
            <w:tcW w:w="3249" w:type="dxa"/>
            <w:gridSpan w:val="2"/>
          </w:tcPr>
          <w:p w:rsidR="002914D6" w:rsidRPr="00501CE0" w:rsidRDefault="00501CE0" w:rsidP="00501CE0">
            <w:pPr>
              <w:bidi w:val="0"/>
              <w:jc w:val="right"/>
              <w:rPr>
                <w:rFonts w:ascii="Arial" w:hAnsi="Arial"/>
                <w:b/>
                <w:bCs/>
                <w:noProof w:val="0"/>
                <w:sz w:val="26"/>
                <w:szCs w:val="26"/>
                <w:u w:val="single"/>
                <w:rtl/>
              </w:rPr>
            </w:pPr>
            <w:r w:rsidRPr="00501CE0">
              <w:rPr>
                <w:rFonts w:ascii="Arial" w:hAnsi="Arial" w:hint="cs"/>
                <w:b/>
                <w:bCs/>
                <w:noProof w:val="0"/>
                <w:sz w:val="26"/>
                <w:szCs w:val="26"/>
                <w:u w:val="single"/>
                <w:rtl/>
              </w:rPr>
              <w:t>התובע/ נתבע:</w:t>
            </w:r>
          </w:p>
        </w:tc>
        <w:tc>
          <w:tcPr>
            <w:tcW w:w="5571" w:type="dxa"/>
          </w:tcPr>
          <w:p w:rsidR="002914D6" w:rsidRPr="00501CE0" w:rsidRDefault="007926FD" w:rsidP="00BD5B6B">
            <w:pPr>
              <w:rPr>
                <w:rStyle w:val="ac"/>
                <w:b/>
                <w:bCs/>
                <w:color w:val="auto"/>
                <w:sz w:val="26"/>
                <w:szCs w:val="26"/>
                <w:rtl/>
              </w:rPr>
            </w:pPr>
            <w:r>
              <w:rPr>
                <w:rStyle w:val="ac"/>
                <w:rFonts w:hint="cs"/>
                <w:b/>
                <w:bCs/>
                <w:color w:val="auto"/>
                <w:sz w:val="26"/>
                <w:szCs w:val="26"/>
                <w:rtl/>
              </w:rPr>
              <w:t xml:space="preserve"> פלוני </w:t>
            </w:r>
          </w:p>
          <w:p w:rsidR="00501CE0" w:rsidRPr="00501CE0" w:rsidRDefault="00501CE0" w:rsidP="00BD5B6B">
            <w:pPr>
              <w:rPr>
                <w:b/>
                <w:bCs/>
                <w:noProof w:val="0"/>
                <w:sz w:val="26"/>
                <w:szCs w:val="26"/>
                <w:rtl/>
              </w:rPr>
            </w:pPr>
            <w:r w:rsidRPr="00501CE0">
              <w:rPr>
                <w:rFonts w:hint="cs"/>
                <w:b/>
                <w:bCs/>
                <w:noProof w:val="0"/>
                <w:sz w:val="26"/>
                <w:szCs w:val="26"/>
                <w:rtl/>
              </w:rPr>
              <w:t xml:space="preserve">ע"י ב"כ עו"ד מר </w:t>
            </w:r>
          </w:p>
        </w:tc>
      </w:tr>
      <w:tr w:rsidR="002914D6">
        <w:trPr>
          <w:jc w:val="center"/>
        </w:trPr>
        <w:tc>
          <w:tcPr>
            <w:tcW w:w="8820" w:type="dxa"/>
            <w:gridSpan w:val="3"/>
          </w:tcPr>
          <w:p w:rsidR="002914D6" w:rsidRPr="00501CE0" w:rsidRDefault="002914D6">
            <w:pPr>
              <w:rPr>
                <w:rFonts w:ascii="Arial" w:hAnsi="Arial"/>
                <w:b/>
                <w:bCs/>
                <w:noProof w:val="0"/>
                <w:sz w:val="26"/>
                <w:szCs w:val="26"/>
                <w:rtl/>
              </w:rPr>
            </w:pPr>
          </w:p>
          <w:p w:rsidR="002914D6" w:rsidRPr="00501CE0" w:rsidRDefault="00011212">
            <w:pPr>
              <w:jc w:val="center"/>
              <w:rPr>
                <w:rFonts w:ascii="Arial" w:hAnsi="Arial"/>
                <w:b/>
                <w:bCs/>
                <w:noProof w:val="0"/>
                <w:sz w:val="26"/>
                <w:szCs w:val="26"/>
                <w:rtl/>
              </w:rPr>
            </w:pPr>
            <w:r w:rsidRPr="00501CE0">
              <w:rPr>
                <w:rFonts w:ascii="Arial" w:hAnsi="Arial"/>
                <w:b/>
                <w:bCs/>
                <w:noProof w:val="0"/>
                <w:sz w:val="26"/>
                <w:szCs w:val="26"/>
                <w:rtl/>
              </w:rPr>
              <w:t>נגד</w:t>
            </w:r>
          </w:p>
          <w:p w:rsidR="002914D6" w:rsidRPr="00501CE0" w:rsidRDefault="002914D6">
            <w:pPr>
              <w:rPr>
                <w:rFonts w:ascii="Arial" w:hAnsi="Arial"/>
                <w:b/>
                <w:bCs/>
                <w:noProof w:val="0"/>
                <w:sz w:val="26"/>
                <w:szCs w:val="26"/>
              </w:rPr>
            </w:pPr>
          </w:p>
        </w:tc>
      </w:tr>
      <w:tr w:rsidR="002914D6">
        <w:trPr>
          <w:jc w:val="center"/>
        </w:trPr>
        <w:tc>
          <w:tcPr>
            <w:tcW w:w="3249" w:type="dxa"/>
            <w:gridSpan w:val="2"/>
          </w:tcPr>
          <w:p w:rsidR="002914D6" w:rsidRPr="00501CE0" w:rsidRDefault="00501CE0">
            <w:pPr>
              <w:rPr>
                <w:rFonts w:ascii="Arial" w:hAnsi="Arial"/>
                <w:b/>
                <w:bCs/>
                <w:noProof w:val="0"/>
                <w:sz w:val="26"/>
                <w:szCs w:val="26"/>
                <w:u w:val="single"/>
                <w:rtl/>
              </w:rPr>
            </w:pPr>
            <w:r w:rsidRPr="00501CE0">
              <w:rPr>
                <w:rFonts w:ascii="Arial" w:hAnsi="Arial" w:hint="cs"/>
                <w:b/>
                <w:bCs/>
                <w:noProof w:val="0"/>
                <w:sz w:val="26"/>
                <w:szCs w:val="26"/>
                <w:u w:val="single"/>
                <w:rtl/>
              </w:rPr>
              <w:t>הנתבעת/תובעת:</w:t>
            </w:r>
          </w:p>
          <w:p w:rsidR="002914D6" w:rsidRPr="00501CE0" w:rsidRDefault="002914D6">
            <w:pPr>
              <w:rPr>
                <w:rFonts w:ascii="Arial" w:hAnsi="Arial"/>
                <w:b/>
                <w:bCs/>
                <w:noProof w:val="0"/>
                <w:sz w:val="26"/>
                <w:szCs w:val="26"/>
              </w:rPr>
            </w:pPr>
          </w:p>
        </w:tc>
        <w:tc>
          <w:tcPr>
            <w:tcW w:w="5571" w:type="dxa"/>
          </w:tcPr>
          <w:p w:rsidR="002914D6" w:rsidRPr="00501CE0" w:rsidRDefault="007926FD" w:rsidP="007926FD">
            <w:pPr>
              <w:rPr>
                <w:rStyle w:val="ac"/>
                <w:b/>
                <w:bCs/>
                <w:color w:val="auto"/>
                <w:sz w:val="26"/>
                <w:szCs w:val="26"/>
                <w:rtl/>
              </w:rPr>
            </w:pPr>
            <w:r>
              <w:rPr>
                <w:rStyle w:val="ac"/>
                <w:rFonts w:hint="cs"/>
                <w:b/>
                <w:bCs/>
                <w:color w:val="auto"/>
                <w:sz w:val="26"/>
                <w:szCs w:val="26"/>
                <w:rtl/>
              </w:rPr>
              <w:t xml:space="preserve"> פלונית </w:t>
            </w:r>
          </w:p>
          <w:p w:rsidR="00501CE0" w:rsidRPr="00501CE0" w:rsidRDefault="00501CE0" w:rsidP="00BD5B6B">
            <w:pPr>
              <w:rPr>
                <w:b/>
                <w:bCs/>
                <w:noProof w:val="0"/>
                <w:sz w:val="26"/>
                <w:szCs w:val="26"/>
                <w:rtl/>
              </w:rPr>
            </w:pPr>
            <w:r w:rsidRPr="00501CE0">
              <w:rPr>
                <w:rFonts w:hint="cs"/>
                <w:b/>
                <w:bCs/>
                <w:noProof w:val="0"/>
                <w:sz w:val="26"/>
                <w:szCs w:val="26"/>
                <w:rtl/>
              </w:rPr>
              <w:t>ע"י ב"כ עו"ד פרסמן</w:t>
            </w:r>
          </w:p>
        </w:tc>
      </w:tr>
    </w:tbl>
    <w:p w:rsidR="002914D6" w:rsidRDefault="002914D6"/>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7926FD" w:rsidRDefault="007926FD" w:rsidP="00501CE0">
      <w:pPr>
        <w:rPr>
          <w:rFonts w:ascii="David" w:hAnsi="David"/>
          <w:sz w:val="28"/>
          <w:szCs w:val="28"/>
          <w:rtl/>
        </w:rPr>
      </w:pPr>
    </w:p>
    <w:p w:rsidR="00501CE0" w:rsidRDefault="00501CE0" w:rsidP="00501CE0">
      <w:pPr>
        <w:pStyle w:val="af"/>
        <w:numPr>
          <w:ilvl w:val="0"/>
          <w:numId w:val="1"/>
        </w:numPr>
        <w:spacing w:after="0" w:line="360" w:lineRule="auto"/>
        <w:jc w:val="both"/>
        <w:rPr>
          <w:rFonts w:ascii="David" w:hAnsi="David" w:cs="David"/>
          <w:b/>
          <w:bCs/>
          <w:sz w:val="24"/>
          <w:szCs w:val="24"/>
          <w:rtl/>
        </w:rPr>
      </w:pPr>
      <w:r>
        <w:rPr>
          <w:rFonts w:ascii="David" w:hAnsi="David" w:cs="David"/>
          <w:b/>
          <w:bCs/>
          <w:sz w:val="24"/>
          <w:szCs w:val="24"/>
          <w:rtl/>
        </w:rPr>
        <w:t>פסק דין זה עניינו הכרעה בשתי תביעות שהוגשו על ידי הצדדים:</w:t>
      </w:r>
    </w:p>
    <w:p w:rsidR="00501CE0" w:rsidRDefault="00501CE0" w:rsidP="00501CE0">
      <w:pPr>
        <w:pStyle w:val="af"/>
        <w:spacing w:after="0" w:line="360" w:lineRule="auto"/>
        <w:ind w:left="567"/>
        <w:jc w:val="both"/>
        <w:rPr>
          <w:rFonts w:ascii="David" w:hAnsi="David" w:cs="David"/>
          <w:b/>
          <w:bCs/>
          <w:sz w:val="24"/>
          <w:szCs w:val="24"/>
          <w:rtl/>
        </w:rPr>
      </w:pPr>
      <w:r>
        <w:rPr>
          <w:rFonts w:ascii="David" w:hAnsi="David" w:cs="David"/>
          <w:b/>
          <w:bCs/>
          <w:sz w:val="24"/>
          <w:szCs w:val="24"/>
          <w:u w:val="single"/>
          <w:rtl/>
        </w:rPr>
        <w:t>תלה"מ 12412-03-20-</w:t>
      </w:r>
      <w:r>
        <w:rPr>
          <w:rFonts w:ascii="David" w:hAnsi="David" w:cs="David"/>
          <w:b/>
          <w:bCs/>
          <w:sz w:val="24"/>
          <w:szCs w:val="24"/>
          <w:rtl/>
        </w:rPr>
        <w:t xml:space="preserve"> תביעה לביטול מזונות  קטינה שהוגשה על ידי התובע תוך עתירה לחיוב הנתבעת בתשלום המזונות לידי התובע וקביעת האב כהורה מרכז, לחייב את האם לשלם 2/3 מההוצאות החריגות של הקטינה (להלן: "תביעת האב").</w:t>
      </w:r>
    </w:p>
    <w:p w:rsidR="00501CE0" w:rsidRDefault="00501CE0" w:rsidP="00501CE0">
      <w:pPr>
        <w:pStyle w:val="af"/>
        <w:spacing w:after="0" w:line="360" w:lineRule="auto"/>
        <w:ind w:left="567"/>
        <w:jc w:val="both"/>
        <w:rPr>
          <w:rFonts w:ascii="David" w:hAnsi="David" w:cs="David"/>
          <w:b/>
          <w:bCs/>
          <w:sz w:val="24"/>
          <w:szCs w:val="24"/>
        </w:rPr>
      </w:pPr>
      <w:r>
        <w:rPr>
          <w:rFonts w:ascii="David" w:hAnsi="David" w:cs="David"/>
          <w:b/>
          <w:bCs/>
          <w:sz w:val="24"/>
          <w:szCs w:val="24"/>
          <w:u w:val="single"/>
          <w:rtl/>
        </w:rPr>
        <w:t>תלה"מ 37653-04-20 -</w:t>
      </w:r>
      <w:r>
        <w:rPr>
          <w:rFonts w:ascii="David" w:hAnsi="David" w:cs="David"/>
          <w:b/>
          <w:bCs/>
          <w:sz w:val="24"/>
          <w:szCs w:val="24"/>
          <w:rtl/>
        </w:rPr>
        <w:t xml:space="preserve"> תביעה עצמאית להגדלת מזונות הקטינה שהוגשה על ידי התובעת. (להלן: "תביעת האם").</w:t>
      </w:r>
    </w:p>
    <w:p w:rsidR="00501CE0" w:rsidRDefault="00501CE0" w:rsidP="00501CE0">
      <w:pPr>
        <w:spacing w:line="360" w:lineRule="auto"/>
        <w:ind w:firstLine="567"/>
        <w:jc w:val="both"/>
        <w:rPr>
          <w:rFonts w:ascii="David" w:hAnsi="David"/>
          <w:b/>
          <w:bCs/>
          <w:rtl/>
        </w:rPr>
      </w:pPr>
      <w:r>
        <w:rPr>
          <w:rFonts w:ascii="David" w:hAnsi="David"/>
          <w:rtl/>
        </w:rPr>
        <w:t>(להלן: "</w:t>
      </w:r>
      <w:r>
        <w:rPr>
          <w:rFonts w:ascii="David" w:hAnsi="David"/>
          <w:b/>
          <w:bCs/>
          <w:rtl/>
        </w:rPr>
        <w:t>האיש</w:t>
      </w:r>
      <w:r>
        <w:rPr>
          <w:rFonts w:ascii="David" w:hAnsi="David"/>
          <w:rtl/>
        </w:rPr>
        <w:t>" או "</w:t>
      </w:r>
      <w:r>
        <w:rPr>
          <w:rFonts w:ascii="David" w:hAnsi="David"/>
          <w:b/>
          <w:bCs/>
          <w:rtl/>
        </w:rPr>
        <w:t>האב</w:t>
      </w:r>
      <w:r>
        <w:rPr>
          <w:rFonts w:ascii="David" w:hAnsi="David"/>
          <w:rtl/>
        </w:rPr>
        <w:t>", להלן: "</w:t>
      </w:r>
      <w:r>
        <w:rPr>
          <w:rFonts w:ascii="David" w:hAnsi="David"/>
          <w:b/>
          <w:bCs/>
          <w:rtl/>
        </w:rPr>
        <w:t>האישה</w:t>
      </w:r>
      <w:r>
        <w:rPr>
          <w:rFonts w:ascii="David" w:hAnsi="David"/>
          <w:rtl/>
        </w:rPr>
        <w:t>" או "</w:t>
      </w:r>
      <w:r>
        <w:rPr>
          <w:rFonts w:ascii="David" w:hAnsi="David"/>
          <w:b/>
          <w:bCs/>
          <w:rtl/>
        </w:rPr>
        <w:t>האם</w:t>
      </w:r>
      <w:r>
        <w:rPr>
          <w:rFonts w:ascii="David" w:hAnsi="David"/>
          <w:rtl/>
        </w:rPr>
        <w:t>").</w:t>
      </w:r>
    </w:p>
    <w:p w:rsidR="00501CE0" w:rsidRDefault="00501CE0" w:rsidP="00501CE0">
      <w:pPr>
        <w:pStyle w:val="af"/>
        <w:spacing w:after="0" w:line="360" w:lineRule="auto"/>
        <w:ind w:left="567"/>
        <w:jc w:val="both"/>
        <w:rPr>
          <w:rFonts w:ascii="David" w:hAnsi="David" w:cs="David"/>
          <w:sz w:val="24"/>
          <w:szCs w:val="24"/>
          <w:rtl/>
        </w:rPr>
      </w:pPr>
    </w:p>
    <w:p w:rsidR="00501CE0" w:rsidRDefault="00501CE0" w:rsidP="00501CE0">
      <w:pPr>
        <w:pStyle w:val="af"/>
        <w:numPr>
          <w:ilvl w:val="0"/>
          <w:numId w:val="2"/>
        </w:numPr>
        <w:spacing w:after="0" w:line="360" w:lineRule="auto"/>
        <w:ind w:left="567" w:hanging="567"/>
        <w:jc w:val="both"/>
        <w:rPr>
          <w:rFonts w:ascii="David" w:hAnsi="David" w:cs="David"/>
          <w:b/>
          <w:bCs/>
          <w:sz w:val="28"/>
          <w:szCs w:val="28"/>
          <w:u w:val="single"/>
          <w:rtl/>
        </w:rPr>
      </w:pPr>
      <w:r>
        <w:rPr>
          <w:rFonts w:ascii="David" w:hAnsi="David" w:cs="David"/>
          <w:b/>
          <w:bCs/>
          <w:sz w:val="28"/>
          <w:szCs w:val="28"/>
          <w:u w:val="single"/>
          <w:rtl/>
        </w:rPr>
        <w:t>רקע עובדתי וההליכים המשפטיים</w:t>
      </w:r>
    </w:p>
    <w:p w:rsidR="00501CE0" w:rsidRDefault="00501CE0" w:rsidP="00501CE0">
      <w:pPr>
        <w:pStyle w:val="af"/>
        <w:spacing w:after="0" w:line="360" w:lineRule="auto"/>
        <w:ind w:left="567"/>
        <w:jc w:val="both"/>
        <w:rPr>
          <w:rFonts w:ascii="David" w:hAnsi="David" w:cs="David"/>
          <w:b/>
          <w:bCs/>
          <w:sz w:val="28"/>
          <w:szCs w:val="28"/>
          <w:u w:val="single"/>
        </w:rPr>
      </w:pPr>
    </w:p>
    <w:p w:rsidR="00501CE0" w:rsidRDefault="00501CE0" w:rsidP="00501CE0">
      <w:pPr>
        <w:pStyle w:val="af"/>
        <w:numPr>
          <w:ilvl w:val="0"/>
          <w:numId w:val="1"/>
        </w:numPr>
        <w:spacing w:after="0" w:line="360" w:lineRule="auto"/>
        <w:jc w:val="both"/>
        <w:rPr>
          <w:rFonts w:ascii="David" w:hAnsi="David" w:cs="David"/>
          <w:sz w:val="24"/>
          <w:szCs w:val="24"/>
        </w:rPr>
      </w:pPr>
      <w:r>
        <w:rPr>
          <w:rFonts w:ascii="David" w:hAnsi="David" w:cs="David"/>
          <w:sz w:val="24"/>
          <w:szCs w:val="24"/>
          <w:rtl/>
        </w:rPr>
        <w:t>הצדדים בני זוג לשעבר. הם נישאו ביום 21.8.2011. הצדדים התגרשו בחודש 07/2014.</w:t>
      </w:r>
    </w:p>
    <w:p w:rsidR="00501CE0" w:rsidRDefault="00501CE0" w:rsidP="00501CE0">
      <w:pPr>
        <w:pStyle w:val="af"/>
        <w:spacing w:line="360" w:lineRule="auto"/>
        <w:ind w:left="567"/>
        <w:jc w:val="both"/>
        <w:rPr>
          <w:rFonts w:ascii="David" w:hAnsi="David" w:cs="David"/>
          <w:sz w:val="24"/>
          <w:szCs w:val="24"/>
          <w:rtl/>
        </w:rPr>
      </w:pPr>
    </w:p>
    <w:p w:rsidR="00501CE0" w:rsidRDefault="00501CE0" w:rsidP="007926FD">
      <w:pPr>
        <w:pStyle w:val="af"/>
        <w:numPr>
          <w:ilvl w:val="0"/>
          <w:numId w:val="1"/>
        </w:numPr>
        <w:spacing w:after="0" w:line="360" w:lineRule="auto"/>
        <w:jc w:val="both"/>
        <w:rPr>
          <w:rFonts w:ascii="David" w:hAnsi="David" w:cs="David"/>
          <w:sz w:val="24"/>
          <w:szCs w:val="24"/>
        </w:rPr>
      </w:pPr>
      <w:r>
        <w:rPr>
          <w:rFonts w:ascii="David" w:hAnsi="David" w:cs="David"/>
          <w:sz w:val="24"/>
          <w:szCs w:val="24"/>
          <w:rtl/>
        </w:rPr>
        <w:t>לצדדים בת משותפת</w:t>
      </w:r>
      <w:r w:rsidR="007926FD">
        <w:rPr>
          <w:rFonts w:ascii="David" w:hAnsi="David" w:cs="David" w:hint="cs"/>
          <w:sz w:val="24"/>
          <w:szCs w:val="24"/>
          <w:rtl/>
        </w:rPr>
        <w:t xml:space="preserve"> ***</w:t>
      </w:r>
      <w:r>
        <w:rPr>
          <w:rFonts w:ascii="David" w:hAnsi="David" w:cs="David"/>
          <w:sz w:val="24"/>
          <w:szCs w:val="24"/>
          <w:rtl/>
        </w:rPr>
        <w:t xml:space="preserve"> ילידת 2012 בת קרוב לעשר (להלן: "</w:t>
      </w:r>
      <w:r>
        <w:rPr>
          <w:rFonts w:ascii="David" w:hAnsi="David" w:cs="David"/>
          <w:b/>
          <w:bCs/>
          <w:sz w:val="24"/>
          <w:szCs w:val="24"/>
          <w:rtl/>
        </w:rPr>
        <w:t>הקטינה</w:t>
      </w:r>
      <w:r>
        <w:rPr>
          <w:rFonts w:ascii="David" w:hAnsi="David" w:cs="David"/>
          <w:sz w:val="24"/>
          <w:szCs w:val="24"/>
          <w:rtl/>
        </w:rPr>
        <w:t>" ו/או "</w:t>
      </w:r>
      <w:r>
        <w:rPr>
          <w:rFonts w:ascii="David" w:hAnsi="David" w:cs="David"/>
          <w:b/>
          <w:bCs/>
          <w:sz w:val="24"/>
          <w:szCs w:val="24"/>
          <w:rtl/>
        </w:rPr>
        <w:t>הילדה</w:t>
      </w:r>
      <w:r>
        <w:rPr>
          <w:rFonts w:ascii="David" w:hAnsi="David" w:cs="David"/>
          <w:sz w:val="24"/>
          <w:szCs w:val="24"/>
          <w:rtl/>
        </w:rPr>
        <w:t>").</w:t>
      </w:r>
    </w:p>
    <w:p w:rsidR="00501CE0" w:rsidRPr="007926FD" w:rsidRDefault="00501CE0" w:rsidP="00501CE0">
      <w:pPr>
        <w:pStyle w:val="af"/>
        <w:rPr>
          <w:rFonts w:ascii="David" w:hAnsi="David" w:cs="David"/>
          <w:sz w:val="24"/>
          <w:szCs w:val="24"/>
        </w:rPr>
      </w:pPr>
    </w:p>
    <w:p w:rsidR="00501CE0" w:rsidRDefault="00501CE0" w:rsidP="00501CE0">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בין הצדדים מתנהלים הליכים משפטיים מאז שנת 2014 (לצדדים 25 תיקים קשורים).  </w:t>
      </w:r>
    </w:p>
    <w:p w:rsidR="00501CE0" w:rsidRDefault="00501CE0" w:rsidP="00501CE0">
      <w:pPr>
        <w:pStyle w:val="af"/>
        <w:rPr>
          <w:rFonts w:ascii="David" w:hAnsi="David" w:cs="David"/>
          <w:sz w:val="24"/>
          <w:szCs w:val="24"/>
        </w:rPr>
      </w:pPr>
    </w:p>
    <w:p w:rsidR="00501CE0" w:rsidRDefault="00501CE0" w:rsidP="00501CE0">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בין הצדדים התנהלו הליכים משפטיים (תמ"ש 46183-04-14 ותמ"ש 46206-04-14) בעניין הקטינה (מזונות ומשמורת) אשר הוגשו ע"י האם. במסגרת דיון קד"מ בפני כב' השופטת ארבל-אסל, ביום 1.6.2014 הגיעו הצדדים להסכמות בעניין המשמורת ומזונות הקטינה אשר קיבלו של  תוקף של פס"ד (להלן: "</w:t>
      </w:r>
      <w:r>
        <w:rPr>
          <w:rFonts w:ascii="David" w:hAnsi="David" w:cs="David"/>
          <w:b/>
          <w:bCs/>
          <w:sz w:val="24"/>
          <w:szCs w:val="24"/>
          <w:rtl/>
        </w:rPr>
        <w:t>ההסכם</w:t>
      </w:r>
      <w:r>
        <w:rPr>
          <w:rFonts w:ascii="David" w:hAnsi="David" w:cs="David"/>
          <w:sz w:val="24"/>
          <w:szCs w:val="24"/>
          <w:rtl/>
        </w:rPr>
        <w:t>" או "</w:t>
      </w:r>
      <w:r>
        <w:rPr>
          <w:rFonts w:ascii="David" w:hAnsi="David" w:cs="David"/>
          <w:b/>
          <w:bCs/>
          <w:sz w:val="24"/>
          <w:szCs w:val="24"/>
          <w:rtl/>
        </w:rPr>
        <w:t>פסק הדין</w:t>
      </w:r>
      <w:r>
        <w:rPr>
          <w:rFonts w:ascii="David" w:hAnsi="David" w:cs="David"/>
          <w:sz w:val="24"/>
          <w:szCs w:val="24"/>
          <w:rtl/>
        </w:rPr>
        <w:t>").</w:t>
      </w:r>
    </w:p>
    <w:p w:rsidR="00501CE0" w:rsidRDefault="00501CE0" w:rsidP="00501CE0">
      <w:pPr>
        <w:pStyle w:val="af"/>
        <w:rPr>
          <w:rFonts w:ascii="David" w:hAnsi="David" w:cs="David"/>
          <w:sz w:val="24"/>
          <w:szCs w:val="24"/>
          <w:rtl/>
        </w:rPr>
      </w:pPr>
    </w:p>
    <w:p w:rsidR="00B323BB" w:rsidRDefault="00B323BB" w:rsidP="00501CE0">
      <w:pPr>
        <w:pStyle w:val="af"/>
        <w:rPr>
          <w:rFonts w:ascii="David" w:hAnsi="David" w:cs="David"/>
          <w:sz w:val="24"/>
          <w:szCs w:val="24"/>
          <w:rtl/>
        </w:rPr>
      </w:pPr>
    </w:p>
    <w:p w:rsidR="00B323BB" w:rsidRDefault="00B323BB" w:rsidP="00501CE0">
      <w:pPr>
        <w:pStyle w:val="af"/>
        <w:rPr>
          <w:rFonts w:ascii="David" w:hAnsi="David" w:cs="David"/>
          <w:sz w:val="24"/>
          <w:szCs w:val="24"/>
        </w:rPr>
      </w:pPr>
    </w:p>
    <w:p w:rsidR="00501CE0" w:rsidRDefault="00501CE0" w:rsidP="00501CE0">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lastRenderedPageBreak/>
        <w:t>בתמ"ש 46206-04-14 , תובענה בעניין הקטינה נקבע כדלקמן:</w:t>
      </w:r>
    </w:p>
    <w:p w:rsidR="00501CE0" w:rsidRDefault="00501CE0" w:rsidP="00501CE0">
      <w:pPr>
        <w:pStyle w:val="af"/>
        <w:ind w:left="1360"/>
        <w:rPr>
          <w:rFonts w:ascii="David" w:hAnsi="David" w:cs="David"/>
          <w:b/>
          <w:bCs/>
          <w:sz w:val="24"/>
          <w:szCs w:val="24"/>
        </w:rPr>
      </w:pPr>
    </w:p>
    <w:p w:rsidR="00501CE0" w:rsidRDefault="00501CE0" w:rsidP="00501CE0">
      <w:pPr>
        <w:spacing w:line="360" w:lineRule="auto"/>
        <w:ind w:left="1360" w:hanging="720"/>
        <w:jc w:val="both"/>
        <w:rPr>
          <w:rFonts w:ascii="David" w:eastAsia="David" w:hAnsi="David"/>
          <w:b/>
          <w:bCs/>
          <w:rtl/>
        </w:rPr>
      </w:pPr>
      <w:r>
        <w:rPr>
          <w:rFonts w:ascii="David" w:eastAsia="David" w:hAnsi="David"/>
          <w:b/>
          <w:bCs/>
          <w:rtl/>
        </w:rPr>
        <w:t>"1.</w:t>
      </w:r>
      <w:r>
        <w:rPr>
          <w:rFonts w:ascii="David" w:eastAsia="David" w:hAnsi="David"/>
          <w:b/>
          <w:bCs/>
          <w:rtl/>
        </w:rPr>
        <w:tab/>
        <w:t xml:space="preserve">בהסכמת הצדדים המשמורת הקבועה בקטינה ניתנת לאמה וזאת מבלי שהדבר יפגע באפוטרופסות הטבעית של כל אחד מההורים ובאחריות ההורית המשותפת וכן בצורך לשתף פעולה בכל החלטה שתתקבל בנוגע לקטינה. </w:t>
      </w:r>
    </w:p>
    <w:p w:rsidR="00501CE0" w:rsidRDefault="00501CE0" w:rsidP="00501CE0">
      <w:pPr>
        <w:spacing w:line="360" w:lineRule="auto"/>
        <w:ind w:left="1360"/>
        <w:jc w:val="both"/>
        <w:rPr>
          <w:rFonts w:ascii="David" w:eastAsia="David" w:hAnsi="David"/>
          <w:b/>
          <w:bCs/>
          <w:rtl/>
        </w:rPr>
      </w:pPr>
    </w:p>
    <w:p w:rsidR="00501CE0" w:rsidRDefault="00501CE0" w:rsidP="00501CE0">
      <w:pPr>
        <w:spacing w:line="360" w:lineRule="auto"/>
        <w:ind w:left="1360" w:hanging="720"/>
        <w:jc w:val="both"/>
        <w:rPr>
          <w:rFonts w:ascii="David" w:eastAsia="David" w:hAnsi="David"/>
          <w:b/>
          <w:bCs/>
          <w:rtl/>
        </w:rPr>
      </w:pPr>
      <w:r>
        <w:rPr>
          <w:rFonts w:ascii="David" w:eastAsia="David" w:hAnsi="David"/>
          <w:b/>
          <w:bCs/>
          <w:rtl/>
        </w:rPr>
        <w:t>2.</w:t>
      </w:r>
      <w:r>
        <w:rPr>
          <w:rFonts w:ascii="David" w:eastAsia="David" w:hAnsi="David"/>
          <w:b/>
          <w:bCs/>
          <w:rtl/>
        </w:rPr>
        <w:tab/>
        <w:t>האב ייקח את הקטינה פעמיים בשבוע בימי ב' וה' מהמסגרת החינוכית ועד לשעה 19:30 וכן בכל סוף שבוע שני – ייקח את הקטינה מהמוסד החינוכי עד מוצאי שבת בשעה 20:00 וזאת בכפוף לאשר יפורט בסעיף 3.</w:t>
      </w:r>
    </w:p>
    <w:p w:rsidR="00501CE0" w:rsidRDefault="00501CE0" w:rsidP="00501CE0">
      <w:pPr>
        <w:spacing w:line="360" w:lineRule="auto"/>
        <w:ind w:left="1360" w:hanging="720"/>
        <w:jc w:val="both"/>
        <w:rPr>
          <w:rFonts w:ascii="David" w:eastAsia="David" w:hAnsi="David"/>
          <w:b/>
          <w:bCs/>
          <w:rtl/>
        </w:rPr>
      </w:pPr>
    </w:p>
    <w:p w:rsidR="00501CE0" w:rsidRDefault="00501CE0" w:rsidP="00501CE0">
      <w:pPr>
        <w:spacing w:line="360" w:lineRule="auto"/>
        <w:ind w:left="1360" w:hanging="720"/>
        <w:jc w:val="both"/>
        <w:rPr>
          <w:rFonts w:ascii="David" w:eastAsia="David" w:hAnsi="David"/>
          <w:b/>
          <w:bCs/>
          <w:u w:val="single"/>
          <w:rtl/>
        </w:rPr>
      </w:pPr>
      <w:r>
        <w:rPr>
          <w:rFonts w:ascii="David" w:eastAsia="David" w:hAnsi="David"/>
          <w:b/>
          <w:bCs/>
          <w:rtl/>
        </w:rPr>
        <w:t>3.</w:t>
      </w:r>
      <w:r>
        <w:rPr>
          <w:rFonts w:ascii="David" w:eastAsia="David" w:hAnsi="David"/>
          <w:b/>
          <w:bCs/>
          <w:rtl/>
        </w:rPr>
        <w:tab/>
      </w:r>
      <w:r>
        <w:rPr>
          <w:rFonts w:ascii="David" w:eastAsia="David" w:hAnsi="David"/>
          <w:b/>
          <w:bCs/>
          <w:u w:val="single"/>
          <w:rtl/>
        </w:rPr>
        <w:t>כפי שהוסכם בדיון היום אני מורה כי הסדרי הראיה יורחבו בהדרגה באופן הבא:</w:t>
      </w:r>
    </w:p>
    <w:p w:rsidR="00501CE0" w:rsidRDefault="00501CE0" w:rsidP="00501CE0">
      <w:pPr>
        <w:spacing w:line="360" w:lineRule="auto"/>
        <w:ind w:left="1360"/>
        <w:jc w:val="both"/>
        <w:rPr>
          <w:rFonts w:ascii="David" w:eastAsia="David" w:hAnsi="David"/>
          <w:b/>
          <w:bCs/>
          <w:rtl/>
        </w:rPr>
      </w:pPr>
      <w:r>
        <w:rPr>
          <w:rFonts w:ascii="David" w:eastAsia="David" w:hAnsi="David"/>
          <w:b/>
          <w:bCs/>
          <w:u w:val="single"/>
          <w:rtl/>
        </w:rPr>
        <w:t>בשלב ראשון והחל מהיום תלון הקטינה בבית האב בימי חמישי אחת לשבועיים וזאת לפני השבת בו הילדה תהיה עם אמה. בחלוף 30 יום תחול הדרגה נוספת בהסדרי הראיה באופן שבנוסף ללינה ביום חמישי, תלון הקטינה בבית האב גם במוצאי שבת בשבת שבה הקטינה לנה אצל האב</w:t>
      </w:r>
      <w:r>
        <w:rPr>
          <w:rFonts w:ascii="David" w:eastAsia="David" w:hAnsi="David"/>
          <w:b/>
          <w:bCs/>
          <w:rtl/>
        </w:rPr>
        <w:t xml:space="preserve"> והוא ישיבה למוסד החינוכי ביום א' בבוקר. </w:t>
      </w:r>
      <w:r>
        <w:rPr>
          <w:rFonts w:ascii="David" w:eastAsia="David" w:hAnsi="David"/>
          <w:b/>
          <w:bCs/>
          <w:u w:val="single"/>
          <w:rtl/>
        </w:rPr>
        <w:t>תישקל גם הדרגה נוספת ליום ב' בשבוע בחלוף 30 יום נוספים ובהתאם להסכמות הצדדים ולהמלצת פקידת הסעד</w:t>
      </w:r>
      <w:r>
        <w:rPr>
          <w:rFonts w:ascii="David" w:eastAsia="David" w:hAnsi="David"/>
          <w:b/>
          <w:bCs/>
          <w:rtl/>
        </w:rPr>
        <w:t xml:space="preserve"> במידת הצורך, כפי שיפורט בהמשך ההחלטה. </w:t>
      </w:r>
    </w:p>
    <w:p w:rsidR="00501CE0" w:rsidRDefault="00501CE0" w:rsidP="00501CE0">
      <w:pPr>
        <w:spacing w:line="360" w:lineRule="auto"/>
        <w:ind w:left="1360"/>
        <w:jc w:val="both"/>
        <w:rPr>
          <w:rFonts w:ascii="David" w:eastAsia="David" w:hAnsi="David"/>
          <w:b/>
          <w:bCs/>
          <w:rtl/>
        </w:rPr>
      </w:pPr>
    </w:p>
    <w:p w:rsidR="00501CE0" w:rsidRDefault="00501CE0" w:rsidP="00501CE0">
      <w:pPr>
        <w:spacing w:line="360" w:lineRule="auto"/>
        <w:ind w:left="1360" w:hanging="720"/>
        <w:jc w:val="both"/>
        <w:rPr>
          <w:rFonts w:ascii="David" w:eastAsia="David" w:hAnsi="David"/>
          <w:b/>
          <w:bCs/>
          <w:rtl/>
        </w:rPr>
      </w:pPr>
      <w:r>
        <w:rPr>
          <w:rFonts w:ascii="David" w:eastAsia="David" w:hAnsi="David"/>
          <w:b/>
          <w:bCs/>
          <w:rtl/>
        </w:rPr>
        <w:t>4.</w:t>
      </w:r>
      <w:r>
        <w:rPr>
          <w:rFonts w:ascii="David" w:eastAsia="David" w:hAnsi="David"/>
          <w:b/>
          <w:bCs/>
          <w:rtl/>
        </w:rPr>
        <w:tab/>
      </w:r>
      <w:r>
        <w:rPr>
          <w:rFonts w:ascii="David" w:eastAsia="David" w:hAnsi="David"/>
          <w:b/>
          <w:bCs/>
          <w:u w:val="single"/>
          <w:rtl/>
        </w:rPr>
        <w:t>האב יקבל את הקטינה לרשותו במחצית ימי החגים והחופשות מבית הספר</w:t>
      </w:r>
      <w:r>
        <w:rPr>
          <w:rFonts w:ascii="David" w:eastAsia="David" w:hAnsi="David"/>
          <w:b/>
          <w:bCs/>
          <w:rtl/>
        </w:rPr>
        <w:t>.</w:t>
      </w:r>
    </w:p>
    <w:p w:rsidR="00501CE0" w:rsidRDefault="00501CE0" w:rsidP="00501CE0">
      <w:pPr>
        <w:spacing w:line="360" w:lineRule="auto"/>
        <w:ind w:left="1360" w:hanging="720"/>
        <w:jc w:val="both"/>
        <w:rPr>
          <w:rFonts w:ascii="David" w:eastAsia="David" w:hAnsi="David"/>
          <w:b/>
          <w:bCs/>
          <w:rtl/>
        </w:rPr>
      </w:pPr>
    </w:p>
    <w:p w:rsidR="00501CE0" w:rsidRDefault="00501CE0" w:rsidP="00501CE0">
      <w:pPr>
        <w:spacing w:line="360" w:lineRule="auto"/>
        <w:ind w:left="1360" w:hanging="720"/>
        <w:jc w:val="both"/>
        <w:rPr>
          <w:rFonts w:ascii="David" w:eastAsia="David" w:hAnsi="David"/>
          <w:b/>
          <w:bCs/>
          <w:rtl/>
        </w:rPr>
      </w:pPr>
      <w:r>
        <w:rPr>
          <w:rFonts w:ascii="David" w:eastAsia="David" w:hAnsi="David"/>
          <w:b/>
          <w:bCs/>
          <w:rtl/>
        </w:rPr>
        <w:t>5.</w:t>
      </w:r>
      <w:r>
        <w:rPr>
          <w:rFonts w:ascii="David" w:eastAsia="David" w:hAnsi="David"/>
          <w:b/>
          <w:bCs/>
          <w:rtl/>
        </w:rPr>
        <w:tab/>
        <w:t>יחידת הסיוע תמשיך ללוות את הצדדים על מנת לסייע להם בפרק הזמן הקרוב. כמו כן, במידה ותיווצרנה מחלוקות בנוגע להסדרי הראיה בעתיד, אני מסמיכה את פקידת הסעד לסדרי דין לשנות ולהרחיב את הסדרי הראיה, וזאת בהתאם לסעיפים 19 ו- 68 לחוק הכשרות המשפטית והאפוטרופסות, תשכ"ב-1962, אני מעניקה לפקידת הסעד לסדרי דין סמכויות לשנות את הסדרי הראיה שלעיל, מעת לעת לפי הצורך.</w:t>
      </w:r>
    </w:p>
    <w:p w:rsidR="00501CE0" w:rsidRDefault="00501CE0" w:rsidP="00501CE0">
      <w:pPr>
        <w:spacing w:line="360" w:lineRule="auto"/>
        <w:ind w:left="1360"/>
        <w:jc w:val="both"/>
        <w:rPr>
          <w:rFonts w:ascii="David" w:eastAsia="David" w:hAnsi="David"/>
          <w:b/>
          <w:bCs/>
          <w:rtl/>
        </w:rPr>
      </w:pPr>
      <w:r>
        <w:rPr>
          <w:rFonts w:ascii="David" w:eastAsia="David" w:hAnsi="David"/>
          <w:b/>
          <w:bCs/>
          <w:rtl/>
        </w:rPr>
        <w:t>תוקף ההסמכה לשנתיים מהיום.</w:t>
      </w:r>
    </w:p>
    <w:p w:rsidR="00501CE0" w:rsidRDefault="00501CE0" w:rsidP="00501CE0">
      <w:pPr>
        <w:spacing w:line="360" w:lineRule="auto"/>
        <w:ind w:left="1360"/>
        <w:jc w:val="both"/>
        <w:rPr>
          <w:rFonts w:ascii="David" w:eastAsia="David" w:hAnsi="David"/>
          <w:b/>
          <w:bCs/>
          <w:rtl/>
        </w:rPr>
      </w:pPr>
      <w:r>
        <w:rPr>
          <w:rFonts w:ascii="David" w:eastAsia="David" w:hAnsi="David"/>
          <w:b/>
          <w:bCs/>
          <w:rtl/>
        </w:rPr>
        <w:t>פקידת הסעד תלווה ותדריך את הצדדים בכל הנדרש. "</w:t>
      </w:r>
      <w:r>
        <w:rPr>
          <w:rFonts w:ascii="David" w:eastAsia="David" w:hAnsi="David"/>
          <w:rtl/>
        </w:rPr>
        <w:t xml:space="preserve"> (ההדגשות בקו – הוספו).</w:t>
      </w:r>
    </w:p>
    <w:p w:rsidR="00501CE0" w:rsidRDefault="00501CE0" w:rsidP="00501CE0">
      <w:pPr>
        <w:pStyle w:val="af"/>
        <w:spacing w:after="0" w:line="360" w:lineRule="auto"/>
        <w:ind w:left="1287"/>
        <w:jc w:val="both"/>
        <w:rPr>
          <w:rFonts w:ascii="David" w:eastAsia="David" w:hAnsi="David" w:cs="David"/>
          <w:b/>
          <w:bCs/>
          <w:sz w:val="24"/>
          <w:szCs w:val="24"/>
          <w:rtl/>
        </w:rPr>
      </w:pPr>
    </w:p>
    <w:p w:rsidR="009421DC" w:rsidRDefault="009421DC" w:rsidP="00501CE0">
      <w:pPr>
        <w:pStyle w:val="af"/>
        <w:spacing w:after="0" w:line="360" w:lineRule="auto"/>
        <w:ind w:left="1287"/>
        <w:jc w:val="both"/>
        <w:rPr>
          <w:rFonts w:ascii="David" w:eastAsia="David" w:hAnsi="David" w:cs="David"/>
          <w:b/>
          <w:bCs/>
          <w:sz w:val="24"/>
          <w:szCs w:val="24"/>
          <w:rtl/>
        </w:rPr>
      </w:pPr>
    </w:p>
    <w:p w:rsidR="009421DC" w:rsidRDefault="009421DC" w:rsidP="00501CE0">
      <w:pPr>
        <w:pStyle w:val="af"/>
        <w:spacing w:after="0" w:line="360" w:lineRule="auto"/>
        <w:ind w:left="1287"/>
        <w:jc w:val="both"/>
        <w:rPr>
          <w:rFonts w:ascii="David" w:eastAsia="David" w:hAnsi="David" w:cs="David"/>
          <w:b/>
          <w:bCs/>
          <w:sz w:val="24"/>
          <w:szCs w:val="24"/>
          <w:rtl/>
        </w:rPr>
      </w:pPr>
    </w:p>
    <w:p w:rsidR="009421DC" w:rsidRDefault="009421DC" w:rsidP="00501CE0">
      <w:pPr>
        <w:pStyle w:val="af"/>
        <w:spacing w:after="0" w:line="360" w:lineRule="auto"/>
        <w:ind w:left="1287"/>
        <w:jc w:val="both"/>
        <w:rPr>
          <w:rFonts w:ascii="David" w:eastAsia="David" w:hAnsi="David" w:cs="David"/>
          <w:b/>
          <w:bCs/>
          <w:sz w:val="24"/>
          <w:szCs w:val="24"/>
          <w:rtl/>
        </w:rPr>
      </w:pPr>
    </w:p>
    <w:p w:rsidR="009421DC" w:rsidRDefault="009421DC" w:rsidP="00501CE0">
      <w:pPr>
        <w:pStyle w:val="af"/>
        <w:spacing w:after="0" w:line="360" w:lineRule="auto"/>
        <w:ind w:left="1287"/>
        <w:jc w:val="both"/>
        <w:rPr>
          <w:rFonts w:ascii="David" w:eastAsia="David" w:hAnsi="David" w:cs="David"/>
          <w:b/>
          <w:bCs/>
          <w:sz w:val="24"/>
          <w:szCs w:val="24"/>
          <w:rtl/>
        </w:rPr>
      </w:pPr>
    </w:p>
    <w:p w:rsidR="00501CE0" w:rsidRDefault="00501CE0" w:rsidP="00501CE0">
      <w:pPr>
        <w:pStyle w:val="af"/>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בתביעת המזונות (תמ"ש 46183-04-14), הצדדים הגיעו להסכם שקיבל תוקף של פסק דין כדלקמן:</w:t>
      </w:r>
    </w:p>
    <w:p w:rsidR="00501CE0" w:rsidRDefault="00501CE0" w:rsidP="00501CE0">
      <w:pPr>
        <w:spacing w:line="360" w:lineRule="auto"/>
        <w:ind w:left="567"/>
        <w:jc w:val="both"/>
        <w:rPr>
          <w:rFonts w:ascii="David" w:eastAsia="David" w:hAnsi="David"/>
          <w:b/>
          <w:bCs/>
        </w:rPr>
      </w:pPr>
      <w:r>
        <w:rPr>
          <w:rFonts w:ascii="David" w:eastAsia="David" w:hAnsi="David"/>
          <w:b/>
          <w:bCs/>
          <w:rtl/>
        </w:rPr>
        <w:t>"1. בהתאם להסכמות הצדדים בדיון היום ניתנות בזה ההוראות הבאות באשר לדמי המזונות:</w:t>
      </w:r>
    </w:p>
    <w:p w:rsidR="00501CE0" w:rsidRDefault="00501CE0" w:rsidP="00501CE0">
      <w:pPr>
        <w:spacing w:line="360" w:lineRule="auto"/>
        <w:ind w:left="567"/>
        <w:jc w:val="both"/>
        <w:rPr>
          <w:rFonts w:ascii="David" w:eastAsia="David" w:hAnsi="David"/>
          <w:b/>
          <w:bCs/>
          <w:rtl/>
        </w:rPr>
      </w:pPr>
      <w:r>
        <w:rPr>
          <w:rFonts w:ascii="David" w:eastAsia="David" w:hAnsi="David"/>
          <w:b/>
          <w:bCs/>
          <w:rtl/>
        </w:rPr>
        <w:t xml:space="preserve">1.1 </w:t>
      </w:r>
      <w:r>
        <w:rPr>
          <w:rFonts w:ascii="David" w:eastAsia="David" w:hAnsi="David"/>
          <w:b/>
          <w:bCs/>
          <w:u w:val="single"/>
          <w:rtl/>
        </w:rPr>
        <w:t>האב ישלם למזונות הקטינה ועבור הגן בו שוהה הקטינה סך  כולל של 3,200 ₪ כאשר 2,000 ₪ מתוך סך זה הינו עבור דמי המזונות</w:t>
      </w:r>
      <w:r>
        <w:rPr>
          <w:rFonts w:ascii="David" w:eastAsia="David" w:hAnsi="David"/>
          <w:b/>
          <w:bCs/>
          <w:rtl/>
        </w:rPr>
        <w:t xml:space="preserve"> והסך הנוסף  הינו עבור רכיב הגן. כפי שהוסכם היום אני מורה כי בשנת הלימודים הקרובה תשהה הקטינה ב"גן שלנו" והחל מגיל 3 תשהה הקטינה בגן עירוני – ממלכתי ואז האב יישא במחצית מעלות גן עירוני בנוסף לדמי המזונות בסך של 2,000 ₪. [...]</w:t>
      </w:r>
    </w:p>
    <w:p w:rsidR="00501CE0" w:rsidRDefault="00501CE0" w:rsidP="00501CE0">
      <w:pPr>
        <w:spacing w:line="360" w:lineRule="auto"/>
        <w:ind w:left="567"/>
        <w:jc w:val="both"/>
        <w:rPr>
          <w:rFonts w:ascii="David" w:eastAsia="David" w:hAnsi="David"/>
          <w:rtl/>
        </w:rPr>
      </w:pPr>
      <w:r>
        <w:rPr>
          <w:rFonts w:ascii="David" w:eastAsia="David" w:hAnsi="David"/>
          <w:b/>
          <w:bCs/>
          <w:rtl/>
        </w:rPr>
        <w:t xml:space="preserve">1.8 </w:t>
      </w:r>
      <w:r>
        <w:rPr>
          <w:rFonts w:ascii="David" w:eastAsia="David" w:hAnsi="David"/>
          <w:b/>
          <w:bCs/>
          <w:u w:val="single"/>
          <w:rtl/>
        </w:rPr>
        <w:t>בנוסף לדמי המזונות וכחלק מהם יישא המשיב במחצית הוצאות חינוך לרבות חוג אחד לקטינה, קייטנה, צהרון וזאת בעלות עירונית ציבורית, שכר לימוד, תגבור בלימודים במידת הצורך, ספרי לימוד וציוד לימודי, בניכוי הוצאות חינוך שמשתלמות על ידי המוסד לביטוח לאומי עבור חינוך, וכן במחצית ההוצאות הרפואיות החריגות שאינן מכוסות על ידי הביטוחים הרפואיים</w:t>
      </w:r>
      <w:r>
        <w:rPr>
          <w:rFonts w:ascii="David" w:eastAsia="David" w:hAnsi="David"/>
          <w:b/>
          <w:bCs/>
          <w:rtl/>
        </w:rPr>
        <w:t>, המשלימים והפרטיים הממומנים על ידי הצדדים כיום עבור הקטינה.  באמירה הוצאות רפואיות חריגות נכללות גם הוצאות לטיפול אורתודנטי ו/או טיפול שיניים."</w:t>
      </w:r>
      <w:r>
        <w:rPr>
          <w:rFonts w:ascii="David" w:eastAsia="David" w:hAnsi="David"/>
          <w:rtl/>
        </w:rPr>
        <w:t xml:space="preserve"> (ההדגשות בקו – הוספו).</w:t>
      </w:r>
    </w:p>
    <w:p w:rsidR="00501CE0" w:rsidRDefault="00501CE0" w:rsidP="00501CE0">
      <w:pPr>
        <w:pStyle w:val="af"/>
        <w:spacing w:after="0" w:line="360" w:lineRule="auto"/>
        <w:ind w:left="651"/>
        <w:jc w:val="both"/>
        <w:rPr>
          <w:rFonts w:ascii="David" w:hAnsi="David" w:cs="David"/>
          <w:sz w:val="24"/>
          <w:szCs w:val="24"/>
          <w:rtl/>
        </w:rPr>
      </w:pPr>
    </w:p>
    <w:p w:rsidR="00501CE0" w:rsidRDefault="00501CE0" w:rsidP="00501CE0">
      <w:pPr>
        <w:pStyle w:val="af"/>
        <w:numPr>
          <w:ilvl w:val="0"/>
          <w:numId w:val="1"/>
        </w:numPr>
        <w:spacing w:after="0" w:line="360" w:lineRule="auto"/>
        <w:jc w:val="both"/>
        <w:rPr>
          <w:rFonts w:ascii="David" w:hAnsi="David" w:cs="David"/>
          <w:sz w:val="24"/>
          <w:szCs w:val="24"/>
        </w:rPr>
      </w:pPr>
      <w:r>
        <w:rPr>
          <w:rFonts w:ascii="David" w:hAnsi="David" w:cs="David"/>
          <w:sz w:val="24"/>
          <w:szCs w:val="24"/>
          <w:rtl/>
        </w:rPr>
        <w:t>לאחר חלוף כשישה חודשים, ביום 30.12.2014, הגיש האיש תביעה בעניינה של הקטינה (תמ"ש 64422-12-24). ביום 26.11.2015, ובהתאם להסכמות הצדדים שניתן להם תוקף של פסק נקבע כדלקמן:</w:t>
      </w:r>
    </w:p>
    <w:p w:rsidR="00501CE0" w:rsidRDefault="00501CE0" w:rsidP="00501CE0">
      <w:pPr>
        <w:spacing w:line="360" w:lineRule="auto"/>
        <w:ind w:left="567"/>
        <w:jc w:val="both"/>
        <w:rPr>
          <w:rFonts w:ascii="David" w:hAnsi="David"/>
          <w:b/>
          <w:bCs/>
        </w:rPr>
      </w:pPr>
      <w:r>
        <w:rPr>
          <w:rFonts w:ascii="David" w:hAnsi="David"/>
          <w:b/>
          <w:bCs/>
          <w:rtl/>
        </w:rPr>
        <w:t xml:space="preserve">"1. </w:t>
      </w:r>
      <w:r>
        <w:rPr>
          <w:rFonts w:ascii="David" w:eastAsia="David" w:hAnsi="David"/>
          <w:b/>
          <w:bCs/>
          <w:rtl/>
        </w:rPr>
        <w:t>ניתן</w:t>
      </w:r>
      <w:r>
        <w:rPr>
          <w:rFonts w:ascii="David" w:hAnsi="David"/>
          <w:b/>
          <w:bCs/>
          <w:rtl/>
        </w:rPr>
        <w:t xml:space="preserve"> בזאת תוקף של פסק דין להמלצות התסקיר מיום 19.8.2015 כפי שהוסכם היום ולמען טובת הקטינה.</w:t>
      </w:r>
    </w:p>
    <w:p w:rsidR="00501CE0" w:rsidRDefault="00501CE0" w:rsidP="00501CE0">
      <w:pPr>
        <w:spacing w:line="360" w:lineRule="auto"/>
        <w:ind w:left="567"/>
        <w:jc w:val="both"/>
        <w:rPr>
          <w:rFonts w:ascii="David" w:hAnsi="David"/>
          <w:b/>
          <w:bCs/>
          <w:rtl/>
        </w:rPr>
      </w:pPr>
      <w:r>
        <w:rPr>
          <w:rFonts w:ascii="David" w:eastAsia="David" w:hAnsi="David"/>
          <w:b/>
          <w:bCs/>
          <w:rtl/>
        </w:rPr>
        <w:t>2. בהתאם</w:t>
      </w:r>
      <w:r>
        <w:rPr>
          <w:rFonts w:ascii="David" w:hAnsi="David"/>
          <w:b/>
          <w:bCs/>
          <w:rtl/>
        </w:rPr>
        <w:t xml:space="preserve"> לכך ובהתאם להמלצות התסקיר אני מורה כבר עתה על </w:t>
      </w:r>
      <w:r>
        <w:rPr>
          <w:rFonts w:ascii="David" w:hAnsi="David"/>
          <w:b/>
          <w:bCs/>
          <w:u w:val="single"/>
          <w:rtl/>
        </w:rPr>
        <w:t>הרחבת לינה של הבת אצל האב בימי ב' ואשר להרחבות נוספות – הללו ידונו אצל המתאמת ההורית</w:t>
      </w:r>
      <w:r>
        <w:rPr>
          <w:rFonts w:ascii="David" w:hAnsi="David"/>
          <w:b/>
          <w:bCs/>
          <w:rtl/>
        </w:rPr>
        <w:t>.[..]"</w:t>
      </w:r>
    </w:p>
    <w:p w:rsidR="00501CE0" w:rsidRDefault="00501CE0" w:rsidP="00501CE0">
      <w:pPr>
        <w:spacing w:line="360" w:lineRule="auto"/>
        <w:ind w:left="567"/>
        <w:jc w:val="both"/>
        <w:rPr>
          <w:rFonts w:ascii="David" w:hAnsi="David"/>
          <w:b/>
          <w:bCs/>
        </w:rPr>
      </w:pPr>
      <w:r>
        <w:rPr>
          <w:rFonts w:ascii="David" w:hAnsi="David"/>
          <w:rtl/>
        </w:rPr>
        <w:t xml:space="preserve">במסגרת הליך זה הוזמן תסקיר אשר ניתן ביום 10.10.2016 והמלצותיו היו: </w:t>
      </w:r>
      <w:r>
        <w:rPr>
          <w:rFonts w:ascii="David" w:hAnsi="David"/>
          <w:b/>
          <w:bCs/>
          <w:u w:val="single"/>
          <w:rtl/>
        </w:rPr>
        <w:t>הוספת לינה מדי שבוע אצל האב בימי חמישי</w:t>
      </w:r>
      <w:r>
        <w:rPr>
          <w:rFonts w:ascii="David" w:hAnsi="David"/>
          <w:rtl/>
        </w:rPr>
        <w:t>.</w:t>
      </w:r>
      <w:r>
        <w:rPr>
          <w:rFonts w:ascii="David" w:hAnsi="David"/>
          <w:b/>
          <w:bCs/>
          <w:rtl/>
        </w:rPr>
        <w:t xml:space="preserve"> </w:t>
      </w:r>
    </w:p>
    <w:p w:rsidR="00501CE0" w:rsidRDefault="00501CE0" w:rsidP="00501CE0">
      <w:pPr>
        <w:spacing w:line="360" w:lineRule="auto"/>
        <w:ind w:left="567"/>
        <w:jc w:val="both"/>
        <w:rPr>
          <w:rFonts w:ascii="David" w:hAnsi="David"/>
          <w:b/>
          <w:bCs/>
          <w:rtl/>
        </w:rPr>
      </w:pPr>
      <w:r>
        <w:rPr>
          <w:rFonts w:ascii="David" w:hAnsi="David"/>
          <w:b/>
          <w:bCs/>
          <w:rtl/>
        </w:rPr>
        <w:t xml:space="preserve">קרי נכון לחודש 10/2016 ההוראות היו לינת הקטינה אל האב פעמיים בשבוע. </w:t>
      </w:r>
    </w:p>
    <w:p w:rsidR="00501CE0" w:rsidRDefault="00501CE0" w:rsidP="00501CE0">
      <w:pPr>
        <w:pStyle w:val="af"/>
        <w:spacing w:after="0" w:line="360" w:lineRule="auto"/>
        <w:ind w:left="651"/>
        <w:jc w:val="both"/>
        <w:rPr>
          <w:rFonts w:ascii="David" w:hAnsi="David" w:cs="David"/>
          <w:sz w:val="24"/>
          <w:szCs w:val="24"/>
          <w:rtl/>
        </w:rPr>
      </w:pPr>
    </w:p>
    <w:p w:rsidR="00501CE0" w:rsidRDefault="00501CE0" w:rsidP="00501CE0">
      <w:pPr>
        <w:pStyle w:val="af"/>
        <w:numPr>
          <w:ilvl w:val="0"/>
          <w:numId w:val="1"/>
        </w:numPr>
        <w:spacing w:after="0" w:line="360" w:lineRule="auto"/>
        <w:jc w:val="both"/>
        <w:rPr>
          <w:rFonts w:ascii="David" w:hAnsi="David" w:cs="David"/>
          <w:sz w:val="24"/>
          <w:szCs w:val="24"/>
        </w:rPr>
      </w:pPr>
      <w:r>
        <w:rPr>
          <w:rFonts w:ascii="David" w:hAnsi="David" w:cs="David"/>
          <w:sz w:val="24"/>
          <w:szCs w:val="24"/>
          <w:rtl/>
        </w:rPr>
        <w:t>ביום 16.01.2018 הגיש האיש תביעת משמורת על הקטינה (תמ"ש 35463-01-18). במסגרת הליך זה ובהתאם להסכמות הצדדים "</w:t>
      </w:r>
      <w:r>
        <w:rPr>
          <w:rFonts w:ascii="David" w:hAnsi="David" w:cs="David"/>
          <w:b/>
          <w:bCs/>
          <w:sz w:val="24"/>
          <w:szCs w:val="24"/>
          <w:rtl/>
        </w:rPr>
        <w:t>ניתן פסק דין המורה על אחריות הורית משותפת של שני הצדדים על הקטינה, תוך הותרת זמני השהות הקיימים על כנם</w:t>
      </w:r>
      <w:r>
        <w:rPr>
          <w:rFonts w:ascii="David" w:hAnsi="David" w:cs="David"/>
          <w:sz w:val="24"/>
          <w:szCs w:val="24"/>
          <w:rtl/>
        </w:rPr>
        <w:t xml:space="preserve">" (ראו סעיף 4 לפסק הדין שניתן ביום 2.7.2019). </w:t>
      </w:r>
    </w:p>
    <w:p w:rsidR="00501CE0" w:rsidRDefault="00501CE0" w:rsidP="00501CE0">
      <w:pPr>
        <w:pStyle w:val="af"/>
        <w:rPr>
          <w:rFonts w:ascii="David" w:hAnsi="David" w:cs="David"/>
          <w:sz w:val="24"/>
          <w:szCs w:val="24"/>
        </w:rPr>
      </w:pPr>
    </w:p>
    <w:p w:rsidR="00501CE0" w:rsidRDefault="00501CE0" w:rsidP="00501CE0">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בין לבין התנהלו בין הצדדים הליכים נוספים שעניינם רכושי וביצוע הסכמות בנושאים אלה והליכים רבים נוספים הקשורים גם לקטינה. </w:t>
      </w:r>
    </w:p>
    <w:p w:rsidR="00501CE0" w:rsidRDefault="00501CE0" w:rsidP="00501CE0">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lastRenderedPageBreak/>
        <w:t xml:space="preserve">ביום 3.3.2020 כב' השופטת ארבל אסל קיבלה בקשה לפסילתה (תמ"ש 62013-02-19). בהמשך לכך עבר התיק לידון בפני כב' השופט שקד. </w:t>
      </w:r>
    </w:p>
    <w:p w:rsidR="00501CE0" w:rsidRDefault="00501CE0" w:rsidP="00501CE0">
      <w:pPr>
        <w:pStyle w:val="af"/>
        <w:rPr>
          <w:rFonts w:ascii="David" w:hAnsi="David" w:cs="David"/>
          <w:sz w:val="24"/>
          <w:szCs w:val="24"/>
        </w:rPr>
      </w:pPr>
    </w:p>
    <w:p w:rsidR="00501CE0" w:rsidRDefault="00501CE0" w:rsidP="00501CE0">
      <w:pPr>
        <w:pStyle w:val="af"/>
        <w:numPr>
          <w:ilvl w:val="0"/>
          <w:numId w:val="1"/>
        </w:numPr>
        <w:spacing w:after="0" w:line="360" w:lineRule="auto"/>
        <w:jc w:val="both"/>
        <w:rPr>
          <w:rFonts w:ascii="David" w:hAnsi="David" w:cs="David"/>
          <w:sz w:val="24"/>
          <w:szCs w:val="24"/>
          <w:rtl/>
        </w:rPr>
      </w:pPr>
      <w:r>
        <w:rPr>
          <w:rFonts w:ascii="David" w:hAnsi="David" w:cs="David"/>
          <w:b/>
          <w:bCs/>
          <w:sz w:val="24"/>
          <w:szCs w:val="24"/>
          <w:rtl/>
        </w:rPr>
        <w:t xml:space="preserve">ביום 5.3.2020 </w:t>
      </w:r>
      <w:r>
        <w:rPr>
          <w:rFonts w:ascii="David" w:hAnsi="David" w:cs="David"/>
          <w:sz w:val="24"/>
          <w:szCs w:val="24"/>
          <w:rtl/>
        </w:rPr>
        <w:t>הגיש האיש את התביעה הנוכחית למזונות קטינה במסגרתה עתר לבטל את מזונות הקטינה שנקבעו במסגרת ההסכם, ולחייב את האישה בתשלום מזונות עבורו לקטינה (תלה"מ 12412-03-20).</w:t>
      </w:r>
    </w:p>
    <w:p w:rsidR="00501CE0" w:rsidRDefault="00501CE0" w:rsidP="00501CE0">
      <w:pPr>
        <w:pStyle w:val="af"/>
        <w:rPr>
          <w:rFonts w:ascii="David" w:hAnsi="David" w:cs="David"/>
          <w:sz w:val="24"/>
          <w:szCs w:val="24"/>
        </w:rPr>
      </w:pPr>
    </w:p>
    <w:p w:rsidR="00501CE0" w:rsidRDefault="00501CE0" w:rsidP="00501CE0">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לאחר שהוגשה תביעת האיש, </w:t>
      </w:r>
      <w:r>
        <w:rPr>
          <w:rFonts w:ascii="David" w:hAnsi="David" w:cs="David"/>
          <w:b/>
          <w:bCs/>
          <w:sz w:val="24"/>
          <w:szCs w:val="24"/>
          <w:rtl/>
        </w:rPr>
        <w:t>ביום 28.4.2020</w:t>
      </w:r>
      <w:r>
        <w:rPr>
          <w:rFonts w:ascii="David" w:hAnsi="David" w:cs="David"/>
          <w:sz w:val="24"/>
          <w:szCs w:val="24"/>
          <w:rtl/>
        </w:rPr>
        <w:t xml:space="preserve">, הגישה האישה את התביעה הנוכחית (תלה"מ 37653-04-20) למזונות הקטינה ובה עתרה להעלות את מזונות הקטינה שנקבעו במסגרת ההסכם. </w:t>
      </w:r>
    </w:p>
    <w:p w:rsidR="00501CE0" w:rsidRDefault="00501CE0" w:rsidP="00501CE0">
      <w:pPr>
        <w:pStyle w:val="af"/>
        <w:rPr>
          <w:rFonts w:ascii="David" w:hAnsi="David" w:cs="David"/>
          <w:sz w:val="24"/>
          <w:szCs w:val="24"/>
        </w:rPr>
      </w:pPr>
    </w:p>
    <w:p w:rsidR="00501CE0" w:rsidRDefault="00501CE0" w:rsidP="00501CE0">
      <w:pPr>
        <w:pStyle w:val="af"/>
        <w:numPr>
          <w:ilvl w:val="0"/>
          <w:numId w:val="1"/>
        </w:numPr>
        <w:spacing w:after="0" w:line="360" w:lineRule="auto"/>
        <w:jc w:val="both"/>
        <w:rPr>
          <w:rFonts w:ascii="David" w:hAnsi="David" w:cs="David"/>
          <w:b/>
          <w:bCs/>
          <w:sz w:val="24"/>
          <w:szCs w:val="24"/>
          <w:rtl/>
        </w:rPr>
      </w:pPr>
      <w:r>
        <w:rPr>
          <w:rFonts w:ascii="David" w:hAnsi="David" w:cs="David"/>
          <w:b/>
          <w:bCs/>
          <w:sz w:val="24"/>
          <w:szCs w:val="24"/>
          <w:rtl/>
        </w:rPr>
        <w:t xml:space="preserve">מדובר בתביעות הדדיות שעניינן אחד: מזונות הקטינה. האיש עותר לביטול המזונות מפסק הדין ובמקביל חיובה של האישה במזונות הקטינה לו, ואילו האישה עותרת להגדיל את המזונות שנקבעו בפסק הדין. </w:t>
      </w:r>
    </w:p>
    <w:p w:rsidR="00501CE0" w:rsidRDefault="00501CE0" w:rsidP="00501CE0">
      <w:pPr>
        <w:pStyle w:val="af"/>
        <w:rPr>
          <w:rFonts w:ascii="David" w:hAnsi="David" w:cs="David"/>
          <w:sz w:val="24"/>
          <w:szCs w:val="24"/>
        </w:rPr>
      </w:pPr>
    </w:p>
    <w:p w:rsidR="00501CE0" w:rsidRDefault="00501CE0" w:rsidP="00501CE0">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ביום 30.6.2020 במעמד דיון קדם שהתקיים בפני כב' השופט שקד, נקבע דיון הוכחות תוך מתן הוראות לגבי הגשת מסמכים כדלקמן: "</w:t>
      </w:r>
      <w:r>
        <w:rPr>
          <w:rFonts w:ascii="David" w:hAnsi="David" w:cs="David"/>
          <w:b/>
          <w:bCs/>
          <w:sz w:val="24"/>
          <w:szCs w:val="24"/>
          <w:rtl/>
        </w:rPr>
        <w:t xml:space="preserve">הדיון יתקיים על יסוד תצהירים שבתיק ביהמ"ש ועל יסוד כתבי הטענות הנתמכים בתצהירים. יחד עם זאת, עד ליום 10.9.2020, </w:t>
      </w:r>
      <w:r>
        <w:rPr>
          <w:rFonts w:ascii="David" w:hAnsi="David" w:cs="David"/>
          <w:b/>
          <w:bCs/>
          <w:sz w:val="24"/>
          <w:szCs w:val="24"/>
          <w:u w:val="single"/>
          <w:rtl/>
        </w:rPr>
        <w:t>יגיש כל צד תצהיר הרצאת פרטים עדכני, בצירוף אישורי הכנסות, דפי בנק, דפי כרטיסי אשראי ותדפיסי עו"ש מ-12 חודשים האחרונים</w:t>
      </w:r>
      <w:r>
        <w:rPr>
          <w:rFonts w:ascii="David" w:hAnsi="David" w:cs="David"/>
          <w:sz w:val="24"/>
          <w:szCs w:val="24"/>
          <w:rtl/>
        </w:rPr>
        <w:t>".</w:t>
      </w:r>
    </w:p>
    <w:p w:rsidR="00501CE0" w:rsidRDefault="00501CE0" w:rsidP="00501CE0">
      <w:pPr>
        <w:pStyle w:val="af"/>
        <w:rPr>
          <w:rFonts w:ascii="David" w:hAnsi="David" w:cs="David"/>
          <w:sz w:val="24"/>
          <w:szCs w:val="24"/>
        </w:rPr>
      </w:pPr>
    </w:p>
    <w:p w:rsidR="00501CE0" w:rsidRDefault="00501CE0" w:rsidP="00501CE0">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ביום 3.9.2020 ניתנה החלטת כב' השופט שקד בבקשת האיש לזימון עדים, ונקבע כי אביה של האם יזומן לעדות. בקשת האב לזמן לעדות עובדת בביתה של האם הועברה לתגובה.</w:t>
      </w:r>
    </w:p>
    <w:p w:rsidR="00501CE0" w:rsidRDefault="00501CE0" w:rsidP="00501CE0">
      <w:pPr>
        <w:pStyle w:val="af"/>
        <w:rPr>
          <w:rFonts w:ascii="David" w:hAnsi="David" w:cs="David"/>
          <w:sz w:val="24"/>
          <w:szCs w:val="24"/>
        </w:rPr>
      </w:pPr>
    </w:p>
    <w:p w:rsidR="00501CE0" w:rsidRDefault="00501CE0" w:rsidP="00501CE0">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בהמשך, ביום 8.9.2020 ניתנה החלטת כב' השופט שקד בה נדחתה בקשת האב לזימונה של עובדת אשר עבדה בבית האישה תקופה ארוכה. </w:t>
      </w:r>
    </w:p>
    <w:p w:rsidR="00501CE0" w:rsidRDefault="00501CE0" w:rsidP="00501CE0">
      <w:pPr>
        <w:pStyle w:val="af"/>
        <w:spacing w:after="0" w:line="360" w:lineRule="auto"/>
        <w:ind w:left="651"/>
        <w:jc w:val="both"/>
        <w:rPr>
          <w:rFonts w:ascii="David" w:hAnsi="David" w:cs="David"/>
          <w:sz w:val="24"/>
          <w:szCs w:val="24"/>
        </w:rPr>
      </w:pPr>
    </w:p>
    <w:p w:rsidR="00501CE0" w:rsidRDefault="00501CE0" w:rsidP="00501CE0">
      <w:pPr>
        <w:pStyle w:val="af"/>
        <w:numPr>
          <w:ilvl w:val="0"/>
          <w:numId w:val="1"/>
        </w:numPr>
        <w:spacing w:after="0" w:line="360" w:lineRule="auto"/>
        <w:jc w:val="both"/>
        <w:rPr>
          <w:rFonts w:ascii="David" w:hAnsi="David" w:cs="David"/>
          <w:sz w:val="24"/>
          <w:szCs w:val="24"/>
        </w:rPr>
      </w:pPr>
      <w:r>
        <w:rPr>
          <w:rFonts w:ascii="David" w:hAnsi="David" w:cs="David"/>
          <w:sz w:val="24"/>
          <w:szCs w:val="24"/>
          <w:rtl/>
        </w:rPr>
        <w:t xml:space="preserve">בין לבין התקיים חלק מדיון ההוכחות ביום 23.11.2020. </w:t>
      </w:r>
    </w:p>
    <w:p w:rsidR="00501CE0" w:rsidRDefault="00501CE0" w:rsidP="00501CE0">
      <w:pPr>
        <w:pStyle w:val="af"/>
        <w:rPr>
          <w:rFonts w:ascii="David" w:hAnsi="David" w:cs="David"/>
          <w:sz w:val="24"/>
          <w:szCs w:val="24"/>
          <w:rtl/>
        </w:rPr>
      </w:pPr>
    </w:p>
    <w:p w:rsidR="00501CE0" w:rsidRDefault="00501CE0" w:rsidP="00501CE0">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ביום 25.1.2021 התקבלה בקשת פסילה שהגיש האב (ע"א 9296/20). </w:t>
      </w:r>
    </w:p>
    <w:p w:rsidR="00501CE0" w:rsidRDefault="00501CE0" w:rsidP="00501CE0">
      <w:pPr>
        <w:pStyle w:val="af"/>
        <w:rPr>
          <w:rFonts w:ascii="David" w:hAnsi="David" w:cs="David"/>
          <w:sz w:val="24"/>
          <w:szCs w:val="24"/>
        </w:rPr>
      </w:pPr>
    </w:p>
    <w:p w:rsidR="00501CE0" w:rsidRDefault="00501CE0" w:rsidP="00501CE0">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לאחר מכן נותבו תיקי הצדדים לשמיעה בפניי. </w:t>
      </w:r>
    </w:p>
    <w:p w:rsidR="00501CE0" w:rsidRDefault="00501CE0" w:rsidP="00501CE0">
      <w:pPr>
        <w:pStyle w:val="af"/>
        <w:rPr>
          <w:rFonts w:ascii="David" w:hAnsi="David" w:cs="David"/>
          <w:sz w:val="24"/>
          <w:szCs w:val="24"/>
        </w:rPr>
      </w:pPr>
    </w:p>
    <w:p w:rsidR="00501CE0" w:rsidRDefault="00501CE0" w:rsidP="00501CE0">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לאחר שהתיקים נותבו בפניי לשמיעה ולאור מצבם ניתנה החלטתי ביום 7.2.2021 כדלקמן:</w:t>
      </w:r>
    </w:p>
    <w:p w:rsidR="00501CE0" w:rsidRDefault="00501CE0" w:rsidP="00501CE0">
      <w:pPr>
        <w:pStyle w:val="af"/>
        <w:spacing w:after="0" w:line="360" w:lineRule="auto"/>
        <w:ind w:left="567"/>
        <w:jc w:val="both"/>
        <w:rPr>
          <w:rFonts w:ascii="David" w:hAnsi="David" w:cs="David"/>
          <w:sz w:val="24"/>
          <w:szCs w:val="24"/>
        </w:rPr>
      </w:pPr>
      <w:r>
        <w:rPr>
          <w:rFonts w:ascii="David" w:hAnsi="David" w:cs="David"/>
          <w:sz w:val="24"/>
          <w:szCs w:val="24"/>
          <w:rtl/>
        </w:rPr>
        <w:t>"התיקים הועברו להחלטתי ויישמעו בפניי.</w:t>
      </w:r>
    </w:p>
    <w:p w:rsidR="00501CE0" w:rsidRDefault="00501CE0" w:rsidP="00501CE0">
      <w:pPr>
        <w:pStyle w:val="af"/>
        <w:spacing w:after="0" w:line="360" w:lineRule="auto"/>
        <w:ind w:left="567"/>
        <w:jc w:val="both"/>
        <w:rPr>
          <w:rFonts w:ascii="David" w:hAnsi="David" w:cs="David"/>
          <w:sz w:val="24"/>
          <w:szCs w:val="24"/>
        </w:rPr>
      </w:pPr>
      <w:r>
        <w:rPr>
          <w:rFonts w:ascii="David" w:hAnsi="David" w:cs="David"/>
          <w:sz w:val="24"/>
          <w:szCs w:val="24"/>
          <w:rtl/>
        </w:rPr>
        <w:t>עיון בתיקים מעלה כי שמיעת עדי האב הסתיימה ונדרש לקבוע לשמיעת האם בלבד לסיום ההוכחות.</w:t>
      </w:r>
    </w:p>
    <w:p w:rsidR="00501CE0" w:rsidRDefault="00501CE0" w:rsidP="00501CE0">
      <w:pPr>
        <w:pStyle w:val="af"/>
        <w:spacing w:after="0" w:line="360" w:lineRule="auto"/>
        <w:ind w:left="567"/>
        <w:jc w:val="both"/>
        <w:rPr>
          <w:rFonts w:ascii="David" w:hAnsi="David" w:cs="David"/>
          <w:b/>
          <w:bCs/>
          <w:sz w:val="24"/>
          <w:szCs w:val="24"/>
          <w:rtl/>
        </w:rPr>
      </w:pPr>
      <w:r>
        <w:rPr>
          <w:rFonts w:ascii="David" w:hAnsi="David" w:cs="David"/>
          <w:b/>
          <w:bCs/>
          <w:sz w:val="24"/>
          <w:szCs w:val="24"/>
          <w:rtl/>
        </w:rPr>
        <w:lastRenderedPageBreak/>
        <w:t xml:space="preserve">ב"כ הצדדים יודיעו </w:t>
      </w:r>
      <w:r>
        <w:rPr>
          <w:rFonts w:ascii="David" w:hAnsi="David" w:cs="David"/>
          <w:b/>
          <w:bCs/>
          <w:sz w:val="24"/>
          <w:szCs w:val="24"/>
          <w:u w:val="single"/>
          <w:rtl/>
        </w:rPr>
        <w:t xml:space="preserve">במשותף </w:t>
      </w:r>
      <w:r>
        <w:rPr>
          <w:rFonts w:ascii="David" w:hAnsi="David" w:cs="David"/>
          <w:b/>
          <w:bCs/>
          <w:sz w:val="24"/>
          <w:szCs w:val="24"/>
          <w:rtl/>
        </w:rPr>
        <w:t xml:space="preserve"> כמה זמן נדרש לחקירה, וזאת בתוך 7 ימים.</w:t>
      </w:r>
    </w:p>
    <w:p w:rsidR="00501CE0" w:rsidRDefault="00501CE0" w:rsidP="00501CE0">
      <w:pPr>
        <w:pStyle w:val="af"/>
        <w:spacing w:after="0" w:line="360" w:lineRule="auto"/>
        <w:ind w:left="567"/>
        <w:jc w:val="both"/>
        <w:rPr>
          <w:rFonts w:ascii="David" w:hAnsi="David" w:cs="David"/>
          <w:sz w:val="24"/>
          <w:szCs w:val="24"/>
          <w:rtl/>
        </w:rPr>
      </w:pPr>
      <w:r>
        <w:rPr>
          <w:rFonts w:ascii="David" w:hAnsi="David" w:cs="David"/>
          <w:sz w:val="24"/>
          <w:szCs w:val="24"/>
          <w:rtl/>
        </w:rPr>
        <w:t>כמו כן ומאחר והתיקים הועברו אלי בשלב הזה אאפשר גם השלמת טיעון נוספת בעל פה (ללא קשר לסיכומים)."</w:t>
      </w:r>
    </w:p>
    <w:p w:rsidR="00501CE0" w:rsidRDefault="00501CE0" w:rsidP="00501CE0">
      <w:pPr>
        <w:spacing w:line="360" w:lineRule="auto"/>
        <w:jc w:val="both"/>
        <w:rPr>
          <w:rFonts w:ascii="David" w:hAnsi="David"/>
          <w:rtl/>
        </w:rPr>
      </w:pPr>
    </w:p>
    <w:p w:rsidR="00501CE0" w:rsidRDefault="00501CE0" w:rsidP="00501CE0">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ביום 4.11.2021 נשמע סיום ההוכחות וכן השלמת טיעון נוספת בעל פה של ב"כ הצדדים. </w:t>
      </w:r>
    </w:p>
    <w:p w:rsidR="00501CE0" w:rsidRDefault="00501CE0" w:rsidP="00501CE0">
      <w:pPr>
        <w:pStyle w:val="af"/>
        <w:spacing w:after="0" w:line="360" w:lineRule="auto"/>
        <w:ind w:left="651"/>
        <w:jc w:val="both"/>
        <w:rPr>
          <w:rFonts w:ascii="David" w:hAnsi="David" w:cs="David"/>
          <w:sz w:val="24"/>
          <w:szCs w:val="24"/>
        </w:rPr>
      </w:pPr>
    </w:p>
    <w:p w:rsidR="00501CE0" w:rsidRDefault="00501CE0" w:rsidP="00501CE0">
      <w:pPr>
        <w:pStyle w:val="af"/>
        <w:numPr>
          <w:ilvl w:val="0"/>
          <w:numId w:val="1"/>
        </w:numPr>
        <w:spacing w:after="0" w:line="360" w:lineRule="auto"/>
        <w:jc w:val="both"/>
        <w:rPr>
          <w:rFonts w:ascii="David" w:hAnsi="David" w:cs="David"/>
          <w:sz w:val="24"/>
          <w:szCs w:val="24"/>
        </w:rPr>
      </w:pPr>
      <w:r>
        <w:rPr>
          <w:rFonts w:ascii="David" w:hAnsi="David" w:cs="David"/>
          <w:sz w:val="24"/>
          <w:szCs w:val="24"/>
          <w:rtl/>
        </w:rPr>
        <w:t xml:space="preserve">עם תום דיון ההוכחות ושמיעת טיעוני ב"כ הצדדים הוריתי כי לאור הזמנים בין הדיונים יש מקום להגשת סיכומים בכתב בשני התיקים. </w:t>
      </w:r>
    </w:p>
    <w:p w:rsidR="00501CE0" w:rsidRDefault="00501CE0" w:rsidP="00501CE0">
      <w:pPr>
        <w:spacing w:line="360" w:lineRule="auto"/>
        <w:jc w:val="both"/>
        <w:rPr>
          <w:rFonts w:ascii="David" w:hAnsi="David"/>
          <w:rtl/>
        </w:rPr>
      </w:pPr>
    </w:p>
    <w:p w:rsidR="00501CE0" w:rsidRDefault="00501CE0" w:rsidP="00501CE0">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לאחר  שהוגשו סיכומים בכתב ניתן בהתאם לכך כעת פסק הדין. מאחר ותביעת האב הוגשה ראשונה היא תידון קודם לכן ולאחר מכן תביעת האם. </w:t>
      </w:r>
    </w:p>
    <w:p w:rsidR="00501CE0" w:rsidRDefault="00501CE0" w:rsidP="00501CE0">
      <w:pPr>
        <w:pStyle w:val="af"/>
        <w:rPr>
          <w:rFonts w:ascii="David" w:hAnsi="David" w:cs="David"/>
          <w:sz w:val="24"/>
          <w:szCs w:val="24"/>
        </w:rPr>
      </w:pPr>
    </w:p>
    <w:p w:rsidR="00501CE0" w:rsidRDefault="00501CE0" w:rsidP="00501CE0">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הצדדים הגישו תביעות שיש ביניהן קוים מקבילים אך שונים. שניהם אמנם עותרים לביטול הקבוע בפסק הדין למזונות אולם עילת התביעה והסעד הנתבע </w:t>
      </w:r>
      <w:r>
        <w:rPr>
          <w:rFonts w:ascii="Miriam" w:hAnsi="Miriam" w:cs="Miriam"/>
          <w:sz w:val="24"/>
          <w:szCs w:val="24"/>
          <w:rtl/>
        </w:rPr>
        <w:t>שונים</w:t>
      </w:r>
      <w:r>
        <w:rPr>
          <w:rFonts w:ascii="David" w:hAnsi="David" w:cs="David"/>
          <w:sz w:val="24"/>
          <w:szCs w:val="24"/>
          <w:rtl/>
        </w:rPr>
        <w:t>.</w:t>
      </w:r>
    </w:p>
    <w:p w:rsidR="00501CE0" w:rsidRDefault="00501CE0" w:rsidP="00501CE0">
      <w:pPr>
        <w:pStyle w:val="af"/>
        <w:rPr>
          <w:rFonts w:ascii="David" w:hAnsi="David" w:cs="David"/>
          <w:sz w:val="24"/>
          <w:szCs w:val="24"/>
        </w:rPr>
      </w:pPr>
    </w:p>
    <w:p w:rsidR="00501CE0" w:rsidRDefault="00501CE0" w:rsidP="00501CE0">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טרם הכרעה בשתי התביעות יצויין כי ב"כ האב טענה בסיכומיה כי די בכך ששני הצדדים מבקשים לשנות את פסק הדין על מנת להורות על ביטולו ודיון בקביעת המזונות מראשיתם.</w:t>
      </w:r>
    </w:p>
    <w:p w:rsidR="00501CE0" w:rsidRDefault="00501CE0" w:rsidP="00501CE0">
      <w:pPr>
        <w:pStyle w:val="af"/>
        <w:rPr>
          <w:rFonts w:ascii="David" w:hAnsi="David" w:cs="David"/>
          <w:sz w:val="24"/>
          <w:szCs w:val="24"/>
        </w:rPr>
      </w:pPr>
    </w:p>
    <w:p w:rsidR="00501CE0" w:rsidRDefault="00501CE0" w:rsidP="00501CE0">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אין בידי לקבל טענה זו. הסכמה זו לאו הסכמה היא. לא הייתה הסכמה הדדית מהותית ואמיתית של שני הצדדים כי ההסכם ופסק הדין יבוטלו. טענות שני הצדדים כמעט בכל ענין וענין רחוקות כמזרח ממערב. מאחר וההסכם קיבל תוקף של פסק דין ומאחר וכל אחד מהצדדים טוען לעילת תביעה שונה ועותר לסעד שונה וטוען לשינוי אחר שאירע, יש לבחון בנפרד ולהכריע בכל אחת מהתביעות כסדרן. </w:t>
      </w:r>
    </w:p>
    <w:p w:rsidR="00501CE0" w:rsidRDefault="00501CE0" w:rsidP="00501CE0">
      <w:pPr>
        <w:pStyle w:val="af"/>
        <w:spacing w:line="360" w:lineRule="auto"/>
        <w:ind w:left="1647"/>
        <w:jc w:val="center"/>
        <w:rPr>
          <w:rFonts w:ascii="David" w:hAnsi="David" w:cs="David"/>
          <w:b/>
          <w:bCs/>
          <w:sz w:val="28"/>
          <w:szCs w:val="28"/>
          <w:u w:val="single"/>
        </w:rPr>
      </w:pPr>
    </w:p>
    <w:p w:rsidR="00501CE0" w:rsidRDefault="00501CE0" w:rsidP="00501CE0">
      <w:pPr>
        <w:pStyle w:val="af"/>
        <w:spacing w:line="360" w:lineRule="auto"/>
        <w:ind w:left="1076" w:hanging="708"/>
        <w:jc w:val="center"/>
        <w:rPr>
          <w:rFonts w:ascii="David" w:hAnsi="David" w:cs="David"/>
          <w:b/>
          <w:bCs/>
          <w:sz w:val="28"/>
          <w:szCs w:val="28"/>
          <w:u w:val="single"/>
          <w:rtl/>
        </w:rPr>
      </w:pPr>
      <w:r>
        <w:rPr>
          <w:rFonts w:ascii="David" w:hAnsi="David" w:cs="David"/>
          <w:b/>
          <w:bCs/>
          <w:sz w:val="28"/>
          <w:szCs w:val="28"/>
          <w:u w:val="single"/>
          <w:rtl/>
        </w:rPr>
        <w:t xml:space="preserve">פסק הדין בתלה"מ 12412-03-20 - תביעת האב </w:t>
      </w:r>
    </w:p>
    <w:p w:rsidR="00501CE0" w:rsidRDefault="00501CE0" w:rsidP="00501CE0">
      <w:pPr>
        <w:pStyle w:val="af"/>
        <w:rPr>
          <w:rFonts w:ascii="David" w:hAnsi="David" w:cs="David"/>
          <w:sz w:val="24"/>
          <w:szCs w:val="24"/>
          <w:rtl/>
        </w:rPr>
      </w:pPr>
    </w:p>
    <w:p w:rsidR="00501CE0" w:rsidRDefault="00501CE0" w:rsidP="00501CE0">
      <w:pPr>
        <w:spacing w:line="360" w:lineRule="auto"/>
        <w:jc w:val="both"/>
        <w:rPr>
          <w:rFonts w:ascii="David" w:hAnsi="David"/>
          <w:b/>
          <w:bCs/>
          <w:sz w:val="28"/>
          <w:szCs w:val="28"/>
          <w:u w:val="single"/>
          <w:rtl/>
        </w:rPr>
      </w:pPr>
      <w:r>
        <w:rPr>
          <w:rFonts w:ascii="David" w:hAnsi="David"/>
          <w:b/>
          <w:bCs/>
          <w:sz w:val="28"/>
          <w:szCs w:val="28"/>
          <w:u w:val="single"/>
          <w:rtl/>
        </w:rPr>
        <w:t>תמצית טענות הצדדים</w:t>
      </w:r>
    </w:p>
    <w:p w:rsidR="00501CE0" w:rsidRDefault="00501CE0" w:rsidP="00501CE0">
      <w:pPr>
        <w:spacing w:line="360" w:lineRule="auto"/>
        <w:jc w:val="both"/>
        <w:rPr>
          <w:rFonts w:ascii="David" w:hAnsi="David"/>
          <w:b/>
          <w:bCs/>
          <w:u w:val="single"/>
          <w:rtl/>
        </w:rPr>
      </w:pPr>
    </w:p>
    <w:p w:rsidR="00501CE0" w:rsidRDefault="00501CE0" w:rsidP="00501CE0">
      <w:pPr>
        <w:spacing w:line="360" w:lineRule="auto"/>
        <w:jc w:val="both"/>
        <w:rPr>
          <w:rFonts w:ascii="David" w:hAnsi="David"/>
          <w:rtl/>
        </w:rPr>
      </w:pPr>
      <w:r>
        <w:rPr>
          <w:rFonts w:ascii="David" w:hAnsi="David"/>
          <w:b/>
          <w:bCs/>
          <w:u w:val="single"/>
          <w:rtl/>
        </w:rPr>
        <w:t xml:space="preserve">טענות האב </w:t>
      </w:r>
    </w:p>
    <w:p w:rsidR="00501CE0" w:rsidRDefault="00501CE0" w:rsidP="00501CE0">
      <w:pPr>
        <w:pStyle w:val="af"/>
        <w:spacing w:after="0" w:line="360" w:lineRule="auto"/>
        <w:ind w:left="651"/>
        <w:jc w:val="both"/>
        <w:rPr>
          <w:rFonts w:ascii="David" w:hAnsi="David" w:cs="David"/>
          <w:sz w:val="28"/>
          <w:szCs w:val="28"/>
        </w:rPr>
      </w:pPr>
    </w:p>
    <w:p w:rsidR="00501CE0" w:rsidRDefault="00501CE0" w:rsidP="00501CE0">
      <w:pPr>
        <w:pStyle w:val="af"/>
        <w:numPr>
          <w:ilvl w:val="0"/>
          <w:numId w:val="1"/>
        </w:numPr>
        <w:spacing w:after="0" w:line="360" w:lineRule="auto"/>
        <w:jc w:val="both"/>
        <w:rPr>
          <w:rFonts w:ascii="David" w:hAnsi="David" w:cs="David"/>
          <w:b/>
          <w:bCs/>
          <w:sz w:val="24"/>
          <w:szCs w:val="24"/>
          <w:u w:val="single"/>
        </w:rPr>
      </w:pPr>
      <w:r>
        <w:rPr>
          <w:rFonts w:ascii="David" w:hAnsi="David" w:cs="David"/>
          <w:b/>
          <w:bCs/>
          <w:sz w:val="24"/>
          <w:szCs w:val="24"/>
          <w:rtl/>
        </w:rPr>
        <w:t>לטענת האב</w:t>
      </w:r>
      <w:r>
        <w:rPr>
          <w:rFonts w:ascii="David" w:hAnsi="David" w:cs="David"/>
          <w:sz w:val="24"/>
          <w:szCs w:val="24"/>
          <w:rtl/>
        </w:rPr>
        <w:t xml:space="preserve"> מאז פסק הדין השתנו הנסיבות באופן מהותי ולפיכך יש צורך בשינוי חיוב המזונות – הצדדים חולקים זמני שהות שווים; יכולתה הכלכלית של האם עולה משמעותית על זו של האב והיא לא זקוקה כלל לתשלומי המזונות; יכולתו הכלכלית של האב.</w:t>
      </w:r>
    </w:p>
    <w:p w:rsidR="00501CE0" w:rsidRDefault="00501CE0" w:rsidP="00501CE0">
      <w:pPr>
        <w:pStyle w:val="af"/>
        <w:rPr>
          <w:rFonts w:ascii="David" w:hAnsi="David" w:cs="David"/>
          <w:b/>
          <w:bCs/>
          <w:sz w:val="24"/>
          <w:szCs w:val="24"/>
          <w:u w:val="single"/>
        </w:rPr>
      </w:pPr>
    </w:p>
    <w:p w:rsidR="00501CE0" w:rsidRDefault="00501CE0" w:rsidP="00501CE0">
      <w:pPr>
        <w:pStyle w:val="af"/>
        <w:numPr>
          <w:ilvl w:val="0"/>
          <w:numId w:val="1"/>
        </w:numPr>
        <w:spacing w:after="0" w:line="360" w:lineRule="auto"/>
        <w:jc w:val="both"/>
        <w:rPr>
          <w:rFonts w:ascii="David" w:hAnsi="David" w:cs="David"/>
          <w:sz w:val="24"/>
          <w:szCs w:val="24"/>
          <w:rtl/>
        </w:rPr>
      </w:pPr>
      <w:r>
        <w:rPr>
          <w:rFonts w:ascii="David" w:hAnsi="David" w:cs="David"/>
          <w:b/>
          <w:bCs/>
          <w:sz w:val="24"/>
          <w:szCs w:val="24"/>
          <w:rtl/>
        </w:rPr>
        <w:lastRenderedPageBreak/>
        <w:t>לטענת האב</w:t>
      </w:r>
      <w:r>
        <w:rPr>
          <w:rFonts w:ascii="David" w:hAnsi="David" w:cs="David"/>
          <w:sz w:val="24"/>
          <w:szCs w:val="24"/>
          <w:rtl/>
        </w:rPr>
        <w:t xml:space="preserve">, הוא נושא במלוא הוצאותיה של הקטינה בזמן שהותה אצלו ובנוסף לכך משלם לידי האישה סך של 2,000 ₪. האב טוען כי יש לקבוע כי כל צד יישא בהוצאות תלויות שהות של הקטינה כשהיא אצלו וכי האב ייקבע כהורה המרכז לצורך ביצוע תשלומים ורכישות של הוצאות שאינן תלויות שהות. בנוסף, עתר האב לחייב את האם לשאת ב-2/3 מכל הוצאה חריגה רפואית או חינוכית של הקטינה (והוא ישא ב1/3) וכן לקבוע כי הוא ייקבל לידיו את קצבת המל"ל. </w:t>
      </w:r>
    </w:p>
    <w:p w:rsidR="00501CE0" w:rsidRDefault="00501CE0" w:rsidP="00501CE0">
      <w:pPr>
        <w:spacing w:line="360" w:lineRule="auto"/>
        <w:jc w:val="both"/>
        <w:rPr>
          <w:rFonts w:ascii="David" w:hAnsi="David"/>
          <w:b/>
          <w:bCs/>
          <w:u w:val="single"/>
        </w:rPr>
      </w:pPr>
    </w:p>
    <w:p w:rsidR="00501CE0" w:rsidRDefault="00501CE0" w:rsidP="00501CE0">
      <w:pPr>
        <w:spacing w:line="360" w:lineRule="auto"/>
        <w:jc w:val="both"/>
        <w:rPr>
          <w:rFonts w:ascii="David" w:hAnsi="David"/>
          <w:rtl/>
        </w:rPr>
      </w:pPr>
      <w:r>
        <w:rPr>
          <w:rFonts w:ascii="David" w:hAnsi="David"/>
          <w:b/>
          <w:bCs/>
          <w:u w:val="single"/>
          <w:rtl/>
        </w:rPr>
        <w:t>טענות האם</w:t>
      </w:r>
    </w:p>
    <w:p w:rsidR="00501CE0" w:rsidRDefault="00501CE0" w:rsidP="00501CE0">
      <w:pPr>
        <w:pStyle w:val="af"/>
        <w:rPr>
          <w:rFonts w:ascii="David" w:hAnsi="David" w:cs="David"/>
          <w:sz w:val="24"/>
          <w:szCs w:val="24"/>
        </w:rPr>
      </w:pPr>
    </w:p>
    <w:p w:rsidR="00501CE0" w:rsidRDefault="00501CE0" w:rsidP="007926FD">
      <w:pPr>
        <w:pStyle w:val="af"/>
        <w:numPr>
          <w:ilvl w:val="0"/>
          <w:numId w:val="1"/>
        </w:numPr>
        <w:spacing w:after="0" w:line="360" w:lineRule="auto"/>
        <w:jc w:val="both"/>
        <w:rPr>
          <w:rFonts w:ascii="David" w:hAnsi="David" w:cs="David"/>
          <w:sz w:val="24"/>
          <w:szCs w:val="24"/>
          <w:rtl/>
        </w:rPr>
      </w:pPr>
      <w:r>
        <w:rPr>
          <w:rFonts w:ascii="David" w:hAnsi="David" w:cs="David"/>
          <w:b/>
          <w:bCs/>
          <w:sz w:val="24"/>
          <w:szCs w:val="24"/>
          <w:rtl/>
        </w:rPr>
        <w:t>לטענת האם</w:t>
      </w:r>
      <w:r>
        <w:rPr>
          <w:rFonts w:ascii="David" w:hAnsi="David" w:cs="David"/>
          <w:sz w:val="24"/>
          <w:szCs w:val="24"/>
          <w:rtl/>
        </w:rPr>
        <w:t xml:space="preserve">, דין התביעה להידחות על הסף תוך חיוב האיש בגין הוצאות שכ"ט עו"ד בצירוף מע"מ כדין. </w:t>
      </w:r>
      <w:r>
        <w:rPr>
          <w:rFonts w:ascii="David" w:hAnsi="David" w:cs="David"/>
          <w:b/>
          <w:bCs/>
          <w:sz w:val="24"/>
          <w:szCs w:val="24"/>
          <w:rtl/>
        </w:rPr>
        <w:t>לטענת האם</w:t>
      </w:r>
      <w:r>
        <w:rPr>
          <w:rFonts w:ascii="David" w:hAnsi="David" w:cs="David"/>
          <w:sz w:val="24"/>
          <w:szCs w:val="24"/>
          <w:rtl/>
        </w:rPr>
        <w:t xml:space="preserve">, מצבו הכלכלי/תעסוקתי של האיש מאז מתן פסק הדין השתפר לאין שיעור (כלשון האישה בסעיף 32 לכתב ההגנה). לטענת האם, נכון ליום אישור ההסכם,  האיש היה עו"ד בתחילת דרכו אשר לפי הצהרתו שכר חדר של עשרה מטרים ביחד עם שותפים, ואילו כיום (נכון למועד הגשת התביעה) מצבו התעסקותי השתנה, כאשר יש לו חברת עו"ד בבעלותו ששוכנת במשרד חדש ומפואר בבניין שב ועובדים תחתיו 3 עורכי שכירים. היא טוענת כי מצבו הכלכלי השתפר לאין שיעור ודי בכך על מנת לדחות את התביעה. </w:t>
      </w:r>
    </w:p>
    <w:p w:rsidR="00501CE0" w:rsidRDefault="00501CE0" w:rsidP="00501CE0">
      <w:pPr>
        <w:pStyle w:val="af"/>
        <w:rPr>
          <w:rFonts w:ascii="David" w:hAnsi="David" w:cs="David"/>
          <w:sz w:val="24"/>
          <w:szCs w:val="24"/>
        </w:rPr>
      </w:pPr>
    </w:p>
    <w:p w:rsidR="00501CE0" w:rsidRDefault="00501CE0" w:rsidP="00501CE0">
      <w:pPr>
        <w:pStyle w:val="af"/>
        <w:rPr>
          <w:rFonts w:ascii="David" w:hAnsi="David" w:cs="David"/>
          <w:sz w:val="24"/>
          <w:szCs w:val="24"/>
          <w:rtl/>
        </w:rPr>
      </w:pPr>
    </w:p>
    <w:p w:rsidR="00501CE0" w:rsidRDefault="00501CE0" w:rsidP="00501CE0">
      <w:pPr>
        <w:pStyle w:val="af"/>
        <w:numPr>
          <w:ilvl w:val="0"/>
          <w:numId w:val="1"/>
        </w:numPr>
        <w:spacing w:after="0" w:line="360" w:lineRule="auto"/>
        <w:jc w:val="both"/>
        <w:rPr>
          <w:rFonts w:ascii="David" w:hAnsi="David" w:cs="David"/>
          <w:sz w:val="24"/>
          <w:szCs w:val="24"/>
          <w:rtl/>
        </w:rPr>
      </w:pPr>
      <w:r>
        <w:rPr>
          <w:rFonts w:ascii="David" w:hAnsi="David" w:cs="David"/>
          <w:b/>
          <w:bCs/>
          <w:sz w:val="24"/>
          <w:szCs w:val="24"/>
          <w:rtl/>
        </w:rPr>
        <w:t>לטענת האם</w:t>
      </w:r>
      <w:r>
        <w:rPr>
          <w:rFonts w:ascii="David" w:hAnsi="David" w:cs="David"/>
          <w:sz w:val="24"/>
          <w:szCs w:val="24"/>
          <w:rtl/>
        </w:rPr>
        <w:t xml:space="preserve"> לאור קיומו של פסק דין  אין מקום לבחון את הנסיבות נכון למועד הגשת תביעת האב להפחתת מזונות אלא יש לבחון את שינוי הנסיבות של כל אחד מהצדדים אל מול המועד בו ניתן פסק הדין בהסכמה. </w:t>
      </w:r>
    </w:p>
    <w:p w:rsidR="00501CE0" w:rsidRDefault="00501CE0" w:rsidP="00501CE0">
      <w:pPr>
        <w:pStyle w:val="af"/>
        <w:spacing w:after="0" w:line="360" w:lineRule="auto"/>
        <w:ind w:left="567"/>
        <w:jc w:val="both"/>
        <w:rPr>
          <w:rFonts w:ascii="David" w:hAnsi="David" w:cs="David"/>
          <w:sz w:val="24"/>
          <w:szCs w:val="24"/>
        </w:rPr>
      </w:pPr>
    </w:p>
    <w:p w:rsidR="00501CE0" w:rsidRDefault="00501CE0" w:rsidP="00501CE0">
      <w:pPr>
        <w:pStyle w:val="af"/>
        <w:numPr>
          <w:ilvl w:val="0"/>
          <w:numId w:val="1"/>
        </w:numPr>
        <w:spacing w:after="0" w:line="360" w:lineRule="auto"/>
        <w:jc w:val="both"/>
        <w:rPr>
          <w:rFonts w:ascii="David" w:hAnsi="David" w:cs="David"/>
          <w:sz w:val="24"/>
          <w:szCs w:val="24"/>
          <w:rtl/>
        </w:rPr>
      </w:pPr>
      <w:r>
        <w:rPr>
          <w:rFonts w:ascii="David" w:hAnsi="David" w:cs="David"/>
          <w:b/>
          <w:bCs/>
          <w:sz w:val="24"/>
          <w:szCs w:val="24"/>
          <w:rtl/>
        </w:rPr>
        <w:t>לטענת האם</w:t>
      </w:r>
      <w:r>
        <w:rPr>
          <w:rFonts w:ascii="David" w:hAnsi="David" w:cs="David"/>
          <w:sz w:val="24"/>
          <w:szCs w:val="24"/>
          <w:rtl/>
        </w:rPr>
        <w:t xml:space="preserve">, בהתאם להלכה הנוהגת רק שינוי נסיבות מהותי מצדיק הקטנת/הגדלת מזונות  כאשר על הצד העותר לשינוי דמי המזונות מוטל הנטל להוכיח כי חל שינוי נסיבות. לטענתה האב לא הוכיח את תביעתו כדבעי -  לא טרח לצרף לתביעתו נתונים כלכלים בסיסיים להוכחת מצבו הכלכלי, לרבות תדפיסי בנק/כרטיסי אשראי שלו ושל החברה שבבעלותו המלאה. </w:t>
      </w:r>
    </w:p>
    <w:p w:rsidR="00501CE0" w:rsidRDefault="00501CE0" w:rsidP="00501CE0">
      <w:pPr>
        <w:pStyle w:val="af"/>
        <w:spacing w:after="0" w:line="360" w:lineRule="auto"/>
        <w:ind w:left="567"/>
        <w:jc w:val="both"/>
        <w:rPr>
          <w:rFonts w:ascii="David" w:hAnsi="David" w:cs="David"/>
          <w:sz w:val="24"/>
          <w:szCs w:val="24"/>
        </w:rPr>
      </w:pPr>
    </w:p>
    <w:p w:rsidR="00501CE0" w:rsidRDefault="00501CE0" w:rsidP="00501CE0">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באשר לטענת האיש לגבי זמני השהות, טוענת האם כי ההסכם צפה כי תהיה הרחבה בזמני השהות וכי היא לא התנגדה להרחבה אלא רק ביקשה הדרגתיות בהרחבה. </w:t>
      </w:r>
    </w:p>
    <w:p w:rsidR="00501CE0" w:rsidRDefault="00501CE0" w:rsidP="00501CE0">
      <w:pPr>
        <w:pStyle w:val="af"/>
        <w:spacing w:after="0" w:line="360" w:lineRule="auto"/>
        <w:ind w:left="567"/>
        <w:jc w:val="both"/>
        <w:rPr>
          <w:rFonts w:ascii="David" w:hAnsi="David" w:cs="David"/>
          <w:sz w:val="24"/>
          <w:szCs w:val="24"/>
        </w:rPr>
      </w:pPr>
    </w:p>
    <w:p w:rsidR="00501CE0" w:rsidRDefault="00501CE0" w:rsidP="00501CE0">
      <w:pPr>
        <w:spacing w:line="360" w:lineRule="auto"/>
        <w:jc w:val="both"/>
        <w:rPr>
          <w:rFonts w:ascii="David" w:hAnsi="David"/>
          <w:b/>
          <w:bCs/>
          <w:sz w:val="28"/>
          <w:szCs w:val="28"/>
          <w:u w:val="single"/>
          <w:rtl/>
        </w:rPr>
      </w:pPr>
      <w:r>
        <w:rPr>
          <w:rFonts w:ascii="David" w:hAnsi="David"/>
          <w:b/>
          <w:bCs/>
          <w:sz w:val="28"/>
          <w:szCs w:val="28"/>
          <w:u w:val="single"/>
          <w:rtl/>
        </w:rPr>
        <w:t>דיון והכרעה</w:t>
      </w:r>
    </w:p>
    <w:p w:rsidR="00501CE0" w:rsidRDefault="00501CE0" w:rsidP="00501CE0">
      <w:pPr>
        <w:pStyle w:val="af"/>
        <w:spacing w:after="0" w:line="360" w:lineRule="auto"/>
        <w:ind w:left="567"/>
        <w:jc w:val="both"/>
        <w:rPr>
          <w:rFonts w:ascii="David" w:hAnsi="David" w:cs="David"/>
          <w:b/>
          <w:bCs/>
          <w:sz w:val="28"/>
          <w:szCs w:val="28"/>
          <w:u w:val="single"/>
        </w:rPr>
      </w:pPr>
    </w:p>
    <w:p w:rsidR="00501CE0" w:rsidRDefault="00501CE0" w:rsidP="00501CE0">
      <w:pPr>
        <w:pStyle w:val="af"/>
        <w:numPr>
          <w:ilvl w:val="0"/>
          <w:numId w:val="1"/>
        </w:numPr>
        <w:spacing w:after="0" w:line="360" w:lineRule="auto"/>
        <w:jc w:val="both"/>
        <w:rPr>
          <w:rFonts w:ascii="David" w:hAnsi="David" w:cs="David"/>
          <w:b/>
          <w:bCs/>
          <w:sz w:val="24"/>
          <w:szCs w:val="24"/>
        </w:rPr>
      </w:pPr>
      <w:r>
        <w:rPr>
          <w:rFonts w:ascii="David" w:hAnsi="David" w:cs="David"/>
          <w:b/>
          <w:bCs/>
          <w:sz w:val="24"/>
          <w:szCs w:val="24"/>
          <w:rtl/>
        </w:rPr>
        <w:t>לאחר בחינת טענות הצדדים, ראיותיהם ועדויותיהם, דין התביעה להידחות, מהנימוקים שיפורטו להלן.</w:t>
      </w:r>
    </w:p>
    <w:p w:rsidR="00501CE0" w:rsidRDefault="00501CE0" w:rsidP="00501CE0">
      <w:pPr>
        <w:pStyle w:val="af"/>
        <w:spacing w:after="0" w:line="360" w:lineRule="auto"/>
        <w:ind w:left="651"/>
        <w:jc w:val="both"/>
        <w:rPr>
          <w:rFonts w:ascii="David" w:hAnsi="David" w:cs="David"/>
          <w:b/>
          <w:bCs/>
          <w:sz w:val="24"/>
          <w:szCs w:val="24"/>
        </w:rPr>
      </w:pPr>
    </w:p>
    <w:p w:rsidR="00501CE0" w:rsidRDefault="00501CE0" w:rsidP="00501CE0">
      <w:pPr>
        <w:pStyle w:val="af"/>
        <w:numPr>
          <w:ilvl w:val="0"/>
          <w:numId w:val="1"/>
        </w:numPr>
        <w:spacing w:after="0" w:line="360" w:lineRule="auto"/>
        <w:jc w:val="both"/>
        <w:rPr>
          <w:rFonts w:ascii="David" w:hAnsi="David" w:cs="David"/>
          <w:b/>
          <w:bCs/>
          <w:sz w:val="24"/>
          <w:szCs w:val="24"/>
        </w:rPr>
      </w:pPr>
      <w:r>
        <w:rPr>
          <w:rFonts w:ascii="David" w:hAnsi="David" w:cs="David"/>
          <w:sz w:val="24"/>
          <w:szCs w:val="24"/>
          <w:rtl/>
        </w:rPr>
        <w:lastRenderedPageBreak/>
        <w:t xml:space="preserve">פסיקת בתי המשפט קבעה לאורך השנים, כי פסק דין למזונות איננו יוצר מעשה בית דין וניתן לשוב ולדון בו במידה שאירע שינוי נסיבות מהותי, </w:t>
      </w:r>
      <w:r>
        <w:rPr>
          <w:rFonts w:ascii="David" w:hAnsi="David" w:cs="David"/>
          <w:sz w:val="24"/>
          <w:szCs w:val="24"/>
          <w:u w:val="single"/>
          <w:rtl/>
        </w:rPr>
        <w:t>בהשוואה</w:t>
      </w:r>
      <w:r>
        <w:rPr>
          <w:rFonts w:ascii="David" w:hAnsi="David" w:cs="David"/>
          <w:sz w:val="24"/>
          <w:szCs w:val="24"/>
          <w:rtl/>
        </w:rPr>
        <w:t xml:space="preserve"> למועד פסק הדין הקודם:</w:t>
      </w:r>
    </w:p>
    <w:p w:rsidR="00501CE0" w:rsidRDefault="00501CE0" w:rsidP="00501CE0">
      <w:pPr>
        <w:spacing w:line="360" w:lineRule="auto"/>
        <w:ind w:left="1218" w:right="1134"/>
        <w:jc w:val="both"/>
        <w:rPr>
          <w:rFonts w:ascii="David" w:hAnsi="David"/>
          <w:b/>
          <w:bCs/>
        </w:rPr>
      </w:pPr>
      <w:r>
        <w:rPr>
          <w:rFonts w:ascii="David" w:hAnsi="David"/>
          <w:b/>
          <w:bCs/>
          <w:rtl/>
        </w:rPr>
        <w:t xml:space="preserve">"[...] כידוע, פסק-דין מזונות אינו יוצר מחסום החלטי בפני התדיינות חוזרת, אלא ניתן לשוב ולפנות לבית המשפט בבקשה לעיון חוזר בפלוגתה פלונית בקשר למזונות, אך זאת בכפיפות לתנאי המפורש והדווקני, שחל שינוי מהותי בנסיבות. אין המדובר בשינוי של מה בכך, ולכן אין בכלל המשפטי, היוצר אפשרות לדיון חוזר, כדי פתיחתו של שער רחב, המתיר התדיינות חוזרת בעניין המזונות, כל אימת שהטינה ההדדית או ניגודי האינטרסים בין הצדדים דוחפים לכך. נהפוך הוא, ההלכה מגבילה ומצמצמת את הדיון החוזר, כאמור, רק לאותם מקרים, בהם חל שינוי מהותי בהשוואה למצב שבעבר. </w:t>
      </w:r>
    </w:p>
    <w:p w:rsidR="00501CE0" w:rsidRDefault="00501CE0" w:rsidP="00501CE0">
      <w:pPr>
        <w:spacing w:line="360" w:lineRule="auto"/>
        <w:ind w:left="1218" w:right="1134"/>
        <w:jc w:val="both"/>
        <w:rPr>
          <w:rFonts w:ascii="David" w:hAnsi="David"/>
          <w:b/>
          <w:bCs/>
          <w:rtl/>
        </w:rPr>
      </w:pPr>
      <w:r>
        <w:rPr>
          <w:rFonts w:ascii="David" w:hAnsi="David"/>
          <w:b/>
          <w:bCs/>
          <w:rtl/>
        </w:rPr>
        <w:t>שינוי בלתי משמעותי על תוצאותיו צריך להיספג על-ידי הצדדים להתדיינות הקודמת, והם חייבים להתאים עצמם למשמעותו, בלי לשוב ולפנות לערכאות".</w:t>
      </w:r>
    </w:p>
    <w:p w:rsidR="00501CE0" w:rsidRDefault="00501CE0" w:rsidP="00501CE0">
      <w:pPr>
        <w:spacing w:line="360" w:lineRule="auto"/>
        <w:ind w:left="567"/>
        <w:jc w:val="both"/>
        <w:rPr>
          <w:rFonts w:ascii="David" w:hAnsi="David"/>
          <w:rtl/>
        </w:rPr>
      </w:pPr>
      <w:r>
        <w:rPr>
          <w:rFonts w:ascii="David" w:hAnsi="David"/>
          <w:rtl/>
        </w:rPr>
        <w:t xml:space="preserve">ראו: ע"א 363/81 </w:t>
      </w:r>
      <w:r>
        <w:rPr>
          <w:rFonts w:ascii="Miriam" w:hAnsi="Miriam" w:cs="Miriam"/>
          <w:rtl/>
        </w:rPr>
        <w:t>פייגה נ' פייגה</w:t>
      </w:r>
      <w:r>
        <w:rPr>
          <w:rFonts w:ascii="David" w:hAnsi="David"/>
          <w:rtl/>
        </w:rPr>
        <w:t xml:space="preserve"> פ"ד לו(3), 187, 188-189.</w:t>
      </w:r>
    </w:p>
    <w:p w:rsidR="009421DC" w:rsidRDefault="009421DC" w:rsidP="00501CE0">
      <w:pPr>
        <w:spacing w:line="360" w:lineRule="auto"/>
        <w:ind w:left="567"/>
        <w:jc w:val="both"/>
        <w:rPr>
          <w:rFonts w:ascii="David" w:hAnsi="David"/>
          <w:rtl/>
        </w:rPr>
      </w:pPr>
    </w:p>
    <w:p w:rsidR="00501CE0" w:rsidRDefault="00501CE0" w:rsidP="00501CE0">
      <w:pPr>
        <w:pStyle w:val="af"/>
        <w:numPr>
          <w:ilvl w:val="0"/>
          <w:numId w:val="1"/>
        </w:numPr>
        <w:spacing w:after="0" w:line="360" w:lineRule="auto"/>
        <w:jc w:val="both"/>
        <w:rPr>
          <w:rFonts w:ascii="David" w:hAnsi="David" w:cs="David"/>
          <w:sz w:val="24"/>
          <w:szCs w:val="24"/>
        </w:rPr>
      </w:pPr>
      <w:r>
        <w:rPr>
          <w:rFonts w:ascii="David" w:hAnsi="David" w:cs="David"/>
          <w:sz w:val="24"/>
          <w:szCs w:val="24"/>
          <w:rtl/>
        </w:rPr>
        <w:t>כעולה מהפסיקה, יש מקום לשינוי המזונות בעטיו של שינוי נסיבות מהותי בלבד (להבדיל מכל שינוי נסיבות שהוא). השינוי צריך להיות שינוי נסיבות מהותי ממועד פסק הדין הקודם, והנטל להוכיחו הינו על מבקש השינוי:</w:t>
      </w:r>
    </w:p>
    <w:p w:rsidR="00501CE0" w:rsidRDefault="00501CE0" w:rsidP="00501CE0">
      <w:pPr>
        <w:spacing w:line="360" w:lineRule="auto"/>
        <w:ind w:left="1218" w:right="1134"/>
        <w:jc w:val="both"/>
        <w:rPr>
          <w:rFonts w:ascii="David" w:hAnsi="David"/>
          <w:b/>
          <w:bCs/>
        </w:rPr>
      </w:pPr>
      <w:r>
        <w:rPr>
          <w:rFonts w:ascii="David" w:hAnsi="David"/>
          <w:b/>
          <w:bCs/>
          <w:rtl/>
        </w:rPr>
        <w:t>"מי שמבקש להוכיח גידול בצרכים ושינוי מהותי בהם, כאשר בעבר ניתן פסק-דין בהסכמה, מתחייב על</w:t>
      </w:r>
      <w:r>
        <w:rPr>
          <w:rFonts w:ascii="David" w:hAnsi="David"/>
          <w:b/>
          <w:bCs/>
          <w:rtl/>
        </w:rPr>
        <w:softHyphen/>
        <w:t xml:space="preserve"> ידי כך בהוכחתו של המצב ששרר בעבר בעת שהגיעו הצדדים להסכמה ובהצבעה על השינוי שחל מאז, אשר אף אותו יש, כמובן, להוכיח. </w:t>
      </w:r>
      <w:r>
        <w:rPr>
          <w:rFonts w:ascii="David" w:hAnsi="David"/>
          <w:b/>
          <w:bCs/>
          <w:u w:val="single"/>
          <w:rtl/>
        </w:rPr>
        <w:t>הווה אומר, בית המשפט אינו פועל בחלל ריק, בו פתוח הכול לבדיקה מחדש מראשיתו, וכאילו לא היו קיימות נסיבות, אשר את שינוין מבקשים להוכיח</w:t>
      </w:r>
      <w:r>
        <w:rPr>
          <w:rFonts w:ascii="David" w:hAnsi="David"/>
          <w:b/>
          <w:bCs/>
          <w:rtl/>
        </w:rPr>
        <w:t xml:space="preserve">. </w:t>
      </w:r>
    </w:p>
    <w:p w:rsidR="00501CE0" w:rsidRDefault="00501CE0" w:rsidP="00501CE0">
      <w:pPr>
        <w:spacing w:line="360" w:lineRule="auto"/>
        <w:ind w:left="1218" w:right="1134"/>
        <w:jc w:val="both"/>
        <w:rPr>
          <w:rFonts w:ascii="David" w:hAnsi="David"/>
          <w:rtl/>
        </w:rPr>
      </w:pPr>
      <w:r>
        <w:rPr>
          <w:rFonts w:ascii="David" w:hAnsi="David"/>
          <w:b/>
          <w:bCs/>
          <w:u w:val="single"/>
          <w:rtl/>
        </w:rPr>
        <w:t>המצב בעבר הוא בגדר נקודת מוצא מחייבת, והבהרתו היא בגדר חובתו של מי שטוען להתהוותו של שינוי</w:t>
      </w:r>
      <w:r>
        <w:rPr>
          <w:rFonts w:ascii="David" w:hAnsi="David"/>
          <w:b/>
          <w:bCs/>
          <w:rtl/>
        </w:rPr>
        <w:t>. כל פירוש אחר יוליך לכך, שצדדים לא יסכימו לעולם להגיע לפשרה או להסכמה, המוליכה לפסק-דין שבהסכמה, פן יהיה פירוש הדבר, כי לא הושג כביכול מאומה, וכי ניתן יהיה לפנות ולבקש למחרת היום, כי ייערך לראשונה "דיון לגופו של ענין בצרכיו והרגליו של התובע".</w:t>
      </w:r>
      <w:r>
        <w:rPr>
          <w:rFonts w:ascii="David" w:hAnsi="David"/>
          <w:rtl/>
        </w:rPr>
        <w:t xml:space="preserve"> (ההדגשות בקו- הוספו).</w:t>
      </w:r>
    </w:p>
    <w:p w:rsidR="00501CE0" w:rsidRDefault="00501CE0" w:rsidP="00501CE0">
      <w:pPr>
        <w:spacing w:line="360" w:lineRule="auto"/>
        <w:ind w:left="567"/>
        <w:jc w:val="both"/>
        <w:rPr>
          <w:rFonts w:ascii="David" w:hAnsi="David"/>
          <w:rtl/>
        </w:rPr>
      </w:pPr>
      <w:r>
        <w:rPr>
          <w:rFonts w:ascii="David" w:hAnsi="David"/>
          <w:rtl/>
        </w:rPr>
        <w:t xml:space="preserve">ראו: ע"א 363/81 </w:t>
      </w:r>
      <w:r>
        <w:rPr>
          <w:rFonts w:ascii="Miriam" w:hAnsi="Miriam" w:cs="Miriam"/>
          <w:rtl/>
        </w:rPr>
        <w:t>פייגה נ' פייגה</w:t>
      </w:r>
      <w:r>
        <w:rPr>
          <w:rFonts w:ascii="David" w:hAnsi="David"/>
          <w:rtl/>
        </w:rPr>
        <w:t xml:space="preserve"> פ"ד לו(3), 187, 189.</w:t>
      </w:r>
    </w:p>
    <w:p w:rsidR="00501CE0" w:rsidRDefault="00501CE0" w:rsidP="00501CE0">
      <w:pPr>
        <w:spacing w:line="360" w:lineRule="auto"/>
        <w:ind w:left="567"/>
        <w:jc w:val="both"/>
        <w:rPr>
          <w:rFonts w:ascii="David" w:hAnsi="David"/>
          <w:rtl/>
        </w:rPr>
      </w:pPr>
      <w:r>
        <w:rPr>
          <w:rFonts w:ascii="David" w:hAnsi="David"/>
          <w:rtl/>
        </w:rPr>
        <w:t xml:space="preserve">ראו עוד: בג"ץ 4407/12 </w:t>
      </w:r>
      <w:r>
        <w:rPr>
          <w:rFonts w:ascii="Miriam" w:hAnsi="Miriam" w:cs="Miriam"/>
          <w:rtl/>
        </w:rPr>
        <w:t>פלוני נ' בית הדין הרבני הגדול לערעורים</w:t>
      </w:r>
      <w:r>
        <w:rPr>
          <w:rFonts w:ascii="David" w:hAnsi="David"/>
          <w:rtl/>
        </w:rPr>
        <w:t xml:space="preserve"> סעיף 17 לפסק הדין של כב' השופט עמית (7.2.2013).</w:t>
      </w:r>
    </w:p>
    <w:p w:rsidR="00501CE0" w:rsidRDefault="00501CE0" w:rsidP="00501CE0">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lastRenderedPageBreak/>
        <w:t xml:space="preserve">נטל ההוכחה בתביעה הינו על התובע אשר עליו להוכיח את התקיימות </w:t>
      </w:r>
      <w:r>
        <w:rPr>
          <w:rFonts w:ascii="Miriam" w:hAnsi="Miriam" w:cs="Miriam"/>
          <w:sz w:val="24"/>
          <w:szCs w:val="24"/>
          <w:rtl/>
        </w:rPr>
        <w:t>כל</w:t>
      </w:r>
      <w:r>
        <w:rPr>
          <w:rFonts w:ascii="David" w:hAnsi="David" w:cs="David"/>
          <w:sz w:val="24"/>
          <w:szCs w:val="24"/>
          <w:rtl/>
        </w:rPr>
        <w:t xml:space="preserve"> הרכיבים הנטענים על ידו: </w:t>
      </w:r>
    </w:p>
    <w:p w:rsidR="00501CE0" w:rsidRDefault="00501CE0" w:rsidP="00501CE0">
      <w:pPr>
        <w:spacing w:line="360" w:lineRule="auto"/>
        <w:ind w:left="1218" w:right="1134"/>
        <w:jc w:val="both"/>
        <w:rPr>
          <w:rFonts w:ascii="David" w:hAnsi="David"/>
          <w:b/>
          <w:bCs/>
          <w:rtl/>
        </w:rPr>
      </w:pPr>
      <w:r>
        <w:rPr>
          <w:rFonts w:ascii="David" w:hAnsi="David"/>
          <w:b/>
          <w:bCs/>
          <w:rtl/>
        </w:rPr>
        <w:t>"על המבקש להפחית מזונות, לפעול בתום לב ולגלות את מלוא האינפורמציה והמסמכים הנוגעים לטענותיו שאירע שינוי נסיבות מהותי המצדיק את הפחתת המזונות.</w:t>
      </w:r>
    </w:p>
    <w:p w:rsidR="00501CE0" w:rsidRDefault="00501CE0" w:rsidP="00501CE0">
      <w:pPr>
        <w:spacing w:line="360" w:lineRule="auto"/>
        <w:ind w:left="1218" w:right="1134"/>
        <w:jc w:val="both"/>
        <w:rPr>
          <w:rFonts w:ascii="David" w:hAnsi="David"/>
        </w:rPr>
      </w:pPr>
      <w:r>
        <w:rPr>
          <w:rFonts w:ascii="David" w:hAnsi="David"/>
          <w:b/>
          <w:bCs/>
          <w:rtl/>
        </w:rPr>
        <w:t>בפסק דין שניתן על ידנו לאחרונה בעמ"ש (ת"א) 33956-02-20</w:t>
      </w:r>
      <w:r>
        <w:rPr>
          <w:rFonts w:ascii="David" w:hAnsi="David"/>
          <w:rtl/>
        </w:rPr>
        <w:t xml:space="preserve"> </w:t>
      </w:r>
      <w:r>
        <w:rPr>
          <w:rFonts w:ascii="David" w:hAnsi="David"/>
          <w:b/>
          <w:bCs/>
          <w:rtl/>
        </w:rPr>
        <w:t>פלוני נ' פלונית</w:t>
      </w:r>
      <w:r>
        <w:rPr>
          <w:rFonts w:ascii="David" w:hAnsi="David"/>
          <w:rtl/>
        </w:rPr>
        <w:t xml:space="preserve"> (8.10.2020)‏ ציינתי כי‏: </w:t>
      </w:r>
    </w:p>
    <w:p w:rsidR="00501CE0" w:rsidRDefault="00501CE0" w:rsidP="00501CE0">
      <w:pPr>
        <w:spacing w:line="360" w:lineRule="auto"/>
        <w:ind w:left="1218" w:right="1134"/>
        <w:jc w:val="both"/>
        <w:rPr>
          <w:rFonts w:ascii="David" w:hAnsi="David"/>
          <w:b/>
          <w:bCs/>
        </w:rPr>
      </w:pPr>
      <w:r>
        <w:rPr>
          <w:rFonts w:ascii="David" w:hAnsi="David"/>
          <w:rtl/>
        </w:rPr>
        <w:t>"</w:t>
      </w:r>
      <w:r>
        <w:rPr>
          <w:rFonts w:ascii="David" w:hAnsi="David"/>
          <w:b/>
          <w:bCs/>
          <w:rtl/>
        </w:rPr>
        <w:t xml:space="preserve">על מי שמבקש להפחית מזונות, חלה חובה מוגברת לפעול בתום לב ולהציג את מלוא רכושו והכנסותיו. כפי שנקבע בעמ"ש 53288-03-18 פלוני נ' פלונית (13.11.18):   "התנאי של שינוי נסיבות מהותי הוא תנאי הכרחי בכדי לקבל תובענה לשינוי סכום מזונות פסוק, אך לא תנאי מספיק. בנוסף יש צורך בבחינת תום לב של מגיש התובענה (האיש או האישה) בהגשת התובענה. [...] כאמור יש לבחון במצב דברים זה את התנהלות מגיש התובענה לשינוי סכום המזונות הפסוק, ב"משקפי" תום הלב ומכלול יחסי בני הזוג".                </w:t>
      </w:r>
    </w:p>
    <w:p w:rsidR="00501CE0" w:rsidRDefault="00501CE0" w:rsidP="00501CE0">
      <w:pPr>
        <w:spacing w:line="360" w:lineRule="auto"/>
        <w:ind w:left="1218" w:right="1134"/>
        <w:jc w:val="both"/>
        <w:rPr>
          <w:rFonts w:ascii="David" w:hAnsi="David"/>
          <w:b/>
          <w:bCs/>
          <w:rtl/>
        </w:rPr>
      </w:pPr>
      <w:r>
        <w:rPr>
          <w:rFonts w:ascii="David" w:hAnsi="David"/>
          <w:b/>
          <w:bCs/>
          <w:rtl/>
        </w:rPr>
        <w:t>כפי שציין חברי כב' אב"ד השופט שוחט בתמ"ש (ת"א) 107782/00 ח.א נ' מ.ח  (17.5.06): "מי שתובע הפחתת מזונות צריך לבוא בידיים נקיות ולפרוש בפני בית המשפט את כל הכנסותיו בגילוי לב"....בבע"מ 3148/07 פלוני נ' פלוני (13.6.07) התייחס כב' השופט רובינשטיין לשיקול הדעת המסור לבית המשפט בבואו לדון מחדש בשאלת המזונות ובפסקה ו' נקבע כי: "במסגרת שיקול דעתו על בית המשפט להביט על התמונה בכללותה, ולהכריע לפיה האם בהתחשב במכלול הנסיבות של יחסי הצדדים יש מקום לאפשר דיון מחודש במזונות. בהקשר זה נקבע, כי על בית המשפט לבחון האם הוגשה התביעה בחוסר תום לב. כבר נפסק כי לחיוב המזונות היבט חוזי..., הכפוף לדרישת תום הלב הקבועה בסעיף 39 לחוק החוזים (חלק כללי), תשל"ג-1973.. "."</w:t>
      </w:r>
    </w:p>
    <w:p w:rsidR="00501CE0" w:rsidRDefault="00501CE0" w:rsidP="00501CE0">
      <w:pPr>
        <w:spacing w:line="360" w:lineRule="auto"/>
        <w:ind w:left="1218" w:right="1134"/>
        <w:jc w:val="both"/>
        <w:rPr>
          <w:rFonts w:ascii="David" w:hAnsi="David"/>
          <w:rtl/>
        </w:rPr>
      </w:pPr>
      <w:r>
        <w:rPr>
          <w:rFonts w:ascii="David" w:hAnsi="David"/>
          <w:rtl/>
        </w:rPr>
        <w:t xml:space="preserve">ראו גם: עמ"ש (חי') 45821-03-20 </w:t>
      </w:r>
      <w:r>
        <w:rPr>
          <w:rFonts w:ascii="David" w:hAnsi="David"/>
          <w:b/>
          <w:bCs/>
          <w:rtl/>
        </w:rPr>
        <w:t xml:space="preserve">פלונית נ' פלוני </w:t>
      </w:r>
      <w:r>
        <w:rPr>
          <w:rFonts w:ascii="David" w:hAnsi="David"/>
          <w:rtl/>
        </w:rPr>
        <w:t>(12.11.20) פסקאות 12 ו-18. "</w:t>
      </w:r>
    </w:p>
    <w:p w:rsidR="00501CE0" w:rsidRDefault="00501CE0" w:rsidP="00501CE0">
      <w:pPr>
        <w:spacing w:line="360" w:lineRule="auto"/>
        <w:ind w:left="720"/>
        <w:jc w:val="both"/>
        <w:rPr>
          <w:rFonts w:ascii="David" w:hAnsi="David"/>
          <w:rtl/>
        </w:rPr>
      </w:pPr>
      <w:r>
        <w:rPr>
          <w:rFonts w:ascii="David" w:hAnsi="David"/>
          <w:rtl/>
        </w:rPr>
        <w:t xml:space="preserve">ראו: עמ"ש 17590-01-20 </w:t>
      </w:r>
      <w:r>
        <w:rPr>
          <w:rFonts w:ascii="Miriam" w:hAnsi="Miriam" w:cs="Miriam"/>
          <w:rtl/>
        </w:rPr>
        <w:t>ר' נ' ר'</w:t>
      </w:r>
      <w:r>
        <w:rPr>
          <w:rFonts w:ascii="David" w:hAnsi="David"/>
          <w:rtl/>
        </w:rPr>
        <w:t xml:space="preserve"> (3.12.2020) סעיף 3 לפסק דינו של כב' השופט שילה. </w:t>
      </w:r>
    </w:p>
    <w:p w:rsidR="00501CE0" w:rsidRDefault="00501CE0" w:rsidP="00501CE0">
      <w:pPr>
        <w:rPr>
          <w:rFonts w:ascii="Calibri" w:hAnsi="Calibri" w:cs="Calibri"/>
          <w:sz w:val="22"/>
          <w:szCs w:val="22"/>
          <w:rtl/>
        </w:rPr>
      </w:pPr>
    </w:p>
    <w:p w:rsidR="009421DC" w:rsidRDefault="009421DC" w:rsidP="00501CE0">
      <w:pPr>
        <w:rPr>
          <w:rFonts w:ascii="Calibri" w:hAnsi="Calibri" w:cs="Calibri"/>
          <w:sz w:val="22"/>
          <w:szCs w:val="22"/>
          <w:rtl/>
        </w:rPr>
      </w:pPr>
    </w:p>
    <w:p w:rsidR="009421DC" w:rsidRDefault="009421DC" w:rsidP="00501CE0">
      <w:pPr>
        <w:rPr>
          <w:rFonts w:ascii="Calibri" w:hAnsi="Calibri" w:cs="Calibri"/>
          <w:sz w:val="22"/>
          <w:szCs w:val="22"/>
          <w:rtl/>
        </w:rPr>
      </w:pPr>
    </w:p>
    <w:p w:rsidR="009421DC" w:rsidRDefault="009421DC" w:rsidP="00501CE0">
      <w:pPr>
        <w:rPr>
          <w:rFonts w:ascii="Calibri" w:hAnsi="Calibri" w:cs="Calibri"/>
          <w:sz w:val="22"/>
          <w:szCs w:val="22"/>
          <w:rtl/>
        </w:rPr>
      </w:pPr>
    </w:p>
    <w:p w:rsidR="009421DC" w:rsidRDefault="009421DC" w:rsidP="00501CE0">
      <w:pPr>
        <w:rPr>
          <w:rFonts w:ascii="Calibri" w:hAnsi="Calibri" w:cs="Calibri"/>
          <w:sz w:val="22"/>
          <w:szCs w:val="22"/>
        </w:rPr>
      </w:pPr>
    </w:p>
    <w:p w:rsidR="00501CE0" w:rsidRDefault="00501CE0" w:rsidP="00501CE0">
      <w:pPr>
        <w:pStyle w:val="af"/>
        <w:spacing w:after="0" w:line="360" w:lineRule="auto"/>
        <w:ind w:left="1011"/>
        <w:jc w:val="both"/>
        <w:rPr>
          <w:rFonts w:ascii="David" w:hAnsi="David" w:cs="David"/>
          <w:b/>
          <w:bCs/>
          <w:sz w:val="24"/>
          <w:szCs w:val="24"/>
          <w:rtl/>
        </w:rPr>
      </w:pPr>
    </w:p>
    <w:p w:rsidR="00501CE0" w:rsidRDefault="00501CE0" w:rsidP="00501CE0">
      <w:pPr>
        <w:pStyle w:val="af"/>
        <w:spacing w:after="0" w:line="360" w:lineRule="auto"/>
        <w:ind w:left="84"/>
        <w:jc w:val="both"/>
        <w:rPr>
          <w:rFonts w:ascii="David" w:hAnsi="David" w:cs="David"/>
          <w:b/>
          <w:bCs/>
          <w:sz w:val="24"/>
          <w:szCs w:val="24"/>
          <w:u w:val="single"/>
          <w:rtl/>
        </w:rPr>
      </w:pPr>
      <w:r>
        <w:rPr>
          <w:rFonts w:ascii="David" w:hAnsi="David" w:cs="David"/>
          <w:b/>
          <w:bCs/>
          <w:sz w:val="24"/>
          <w:szCs w:val="24"/>
          <w:u w:val="single"/>
          <w:rtl/>
        </w:rPr>
        <w:lastRenderedPageBreak/>
        <w:t>טענת האיש להרחבת זמני השהות שלו עם הקטינה</w:t>
      </w:r>
    </w:p>
    <w:p w:rsidR="00501CE0" w:rsidRDefault="00501CE0" w:rsidP="00501CE0">
      <w:pPr>
        <w:pStyle w:val="af"/>
        <w:spacing w:after="0" w:line="360" w:lineRule="auto"/>
        <w:ind w:left="651"/>
        <w:jc w:val="both"/>
        <w:rPr>
          <w:rFonts w:ascii="David" w:hAnsi="David" w:cs="David"/>
          <w:b/>
          <w:bCs/>
          <w:sz w:val="24"/>
          <w:szCs w:val="24"/>
          <w:rtl/>
        </w:rPr>
      </w:pPr>
    </w:p>
    <w:p w:rsidR="00501CE0" w:rsidRDefault="00501CE0" w:rsidP="00501CE0">
      <w:pPr>
        <w:pStyle w:val="af"/>
        <w:numPr>
          <w:ilvl w:val="0"/>
          <w:numId w:val="1"/>
        </w:numPr>
        <w:spacing w:after="0" w:line="360" w:lineRule="auto"/>
        <w:jc w:val="both"/>
        <w:rPr>
          <w:rFonts w:ascii="David" w:hAnsi="David" w:cs="David"/>
          <w:b/>
          <w:bCs/>
          <w:sz w:val="24"/>
          <w:szCs w:val="24"/>
        </w:rPr>
      </w:pPr>
      <w:r>
        <w:rPr>
          <w:rFonts w:ascii="David" w:hAnsi="David" w:cs="David"/>
          <w:b/>
          <w:bCs/>
          <w:sz w:val="24"/>
          <w:szCs w:val="24"/>
          <w:rtl/>
        </w:rPr>
        <w:t xml:space="preserve">לטענת האיש </w:t>
      </w:r>
      <w:r>
        <w:rPr>
          <w:rFonts w:ascii="David" w:hAnsi="David" w:cs="David"/>
          <w:sz w:val="24"/>
          <w:szCs w:val="24"/>
          <w:rtl/>
        </w:rPr>
        <w:t>זמני השהות עם הקטינה הורחבו בשלוש פעימות עד להשוואתם בין הצדדים. לטענת האיש, עם הרחבת זמני שהות ביקש להגדיר משמורת משותפת על הקטינה ואולם האישה סירבה ולכן נאלץ בשנת 2018 לפתוח בהליך אשר במסגרתו ניתן פסק דין בהסכמה לפי תתקיים אחריות משותפת.</w:t>
      </w:r>
    </w:p>
    <w:p w:rsidR="00501CE0" w:rsidRDefault="00501CE0" w:rsidP="00501CE0">
      <w:pPr>
        <w:pStyle w:val="af"/>
        <w:spacing w:after="0" w:line="360" w:lineRule="auto"/>
        <w:ind w:left="567"/>
        <w:jc w:val="both"/>
        <w:rPr>
          <w:rFonts w:ascii="David" w:hAnsi="David" w:cs="David"/>
          <w:b/>
          <w:bCs/>
          <w:sz w:val="24"/>
          <w:szCs w:val="24"/>
        </w:rPr>
      </w:pPr>
      <w:r>
        <w:rPr>
          <w:rFonts w:ascii="David" w:hAnsi="David" w:cs="David"/>
          <w:sz w:val="24"/>
          <w:szCs w:val="24"/>
          <w:rtl/>
        </w:rPr>
        <w:t>לטענת האיש</w:t>
      </w:r>
      <w:r>
        <w:rPr>
          <w:rFonts w:ascii="David" w:hAnsi="David" w:cs="David"/>
          <w:b/>
          <w:bCs/>
          <w:sz w:val="24"/>
          <w:szCs w:val="24"/>
          <w:rtl/>
        </w:rPr>
        <w:t xml:space="preserve">, </w:t>
      </w:r>
      <w:r>
        <w:rPr>
          <w:rFonts w:ascii="David" w:hAnsi="David" w:cs="David"/>
          <w:sz w:val="24"/>
          <w:szCs w:val="24"/>
          <w:rtl/>
        </w:rPr>
        <w:t>מעבר לחלוקת זמני שהות, הוא מתנהל כהורה מרכז מחלק ניכר מענייני הקטינה לרבות רכישת ביגוד, ספרים לבית הספר, ביקור אצל רופאים, ציוד רפואי, רישום למסגרות חינוכיות.</w:t>
      </w:r>
      <w:r>
        <w:rPr>
          <w:rFonts w:ascii="David" w:hAnsi="David" w:cs="David"/>
          <w:b/>
          <w:bCs/>
          <w:sz w:val="24"/>
          <w:szCs w:val="24"/>
          <w:rtl/>
        </w:rPr>
        <w:t xml:space="preserve"> </w:t>
      </w:r>
    </w:p>
    <w:p w:rsidR="00501CE0" w:rsidRDefault="00501CE0" w:rsidP="00501CE0">
      <w:pPr>
        <w:pStyle w:val="af"/>
        <w:rPr>
          <w:rFonts w:ascii="David" w:hAnsi="David" w:cs="David"/>
          <w:b/>
          <w:bCs/>
          <w:sz w:val="24"/>
          <w:szCs w:val="24"/>
        </w:rPr>
      </w:pPr>
    </w:p>
    <w:p w:rsidR="00501CE0" w:rsidRDefault="00501CE0" w:rsidP="00501CE0">
      <w:pPr>
        <w:pStyle w:val="af"/>
        <w:numPr>
          <w:ilvl w:val="0"/>
          <w:numId w:val="1"/>
        </w:numPr>
        <w:spacing w:after="0" w:line="360" w:lineRule="auto"/>
        <w:jc w:val="both"/>
        <w:rPr>
          <w:rFonts w:ascii="David" w:hAnsi="David" w:cs="David"/>
          <w:b/>
          <w:bCs/>
          <w:sz w:val="24"/>
          <w:szCs w:val="24"/>
          <w:rtl/>
        </w:rPr>
      </w:pPr>
      <w:r>
        <w:rPr>
          <w:rFonts w:ascii="David" w:hAnsi="David" w:cs="David"/>
          <w:b/>
          <w:bCs/>
          <w:sz w:val="24"/>
          <w:szCs w:val="24"/>
          <w:rtl/>
        </w:rPr>
        <w:t xml:space="preserve">לטענת האיש שינוי זמני שהות באופן שחלוקת הזמנים עם הקטינה שווה בין הצדדים מצדיקה בחינה מחודשת של חיוב המזונות. </w:t>
      </w:r>
    </w:p>
    <w:p w:rsidR="00501CE0" w:rsidRDefault="00501CE0" w:rsidP="00501CE0">
      <w:pPr>
        <w:pStyle w:val="af"/>
        <w:rPr>
          <w:rFonts w:ascii="David" w:hAnsi="David" w:cs="David"/>
          <w:b/>
          <w:bCs/>
          <w:sz w:val="24"/>
          <w:szCs w:val="24"/>
        </w:rPr>
      </w:pPr>
    </w:p>
    <w:p w:rsidR="00501CE0" w:rsidRDefault="00501CE0" w:rsidP="00501CE0">
      <w:pPr>
        <w:pStyle w:val="af"/>
        <w:numPr>
          <w:ilvl w:val="0"/>
          <w:numId w:val="1"/>
        </w:numPr>
        <w:spacing w:after="0" w:line="360" w:lineRule="auto"/>
        <w:jc w:val="both"/>
        <w:rPr>
          <w:rFonts w:ascii="David" w:hAnsi="David" w:cs="David"/>
          <w:b/>
          <w:bCs/>
          <w:sz w:val="24"/>
          <w:szCs w:val="24"/>
          <w:rtl/>
        </w:rPr>
      </w:pPr>
      <w:r>
        <w:rPr>
          <w:rFonts w:ascii="David" w:hAnsi="David" w:cs="David"/>
          <w:b/>
          <w:bCs/>
          <w:sz w:val="24"/>
          <w:szCs w:val="24"/>
          <w:rtl/>
        </w:rPr>
        <w:t>לטענת האישה</w:t>
      </w:r>
      <w:r>
        <w:rPr>
          <w:rFonts w:ascii="David" w:hAnsi="David" w:cs="David"/>
          <w:sz w:val="24"/>
          <w:szCs w:val="24"/>
          <w:rtl/>
        </w:rPr>
        <w:t>,</w:t>
      </w:r>
      <w:r>
        <w:rPr>
          <w:rFonts w:ascii="David" w:hAnsi="David" w:cs="David"/>
          <w:b/>
          <w:bCs/>
          <w:sz w:val="24"/>
          <w:szCs w:val="24"/>
          <w:rtl/>
        </w:rPr>
        <w:t xml:space="preserve"> </w:t>
      </w:r>
      <w:r>
        <w:rPr>
          <w:rFonts w:ascii="David" w:hAnsi="David" w:cs="David"/>
          <w:sz w:val="24"/>
          <w:szCs w:val="24"/>
          <w:rtl/>
        </w:rPr>
        <w:t>האיש כיוון למשמורת משותפת מהיום הראשון והמזונות נפסקו בהסכמה בהינתן נתון זה. האישה מפנה לטענות ב"כ האיש בדיון שהתקיים ביום 1.6.2014 (עמ' 3 שו' 1-7):</w:t>
      </w:r>
    </w:p>
    <w:p w:rsidR="00501CE0" w:rsidRDefault="00501CE0" w:rsidP="00501CE0">
      <w:pPr>
        <w:pStyle w:val="af"/>
        <w:rPr>
          <w:rFonts w:ascii="David" w:hAnsi="David" w:cs="David"/>
          <w:b/>
          <w:bCs/>
          <w:sz w:val="24"/>
          <w:szCs w:val="24"/>
        </w:rPr>
      </w:pPr>
    </w:p>
    <w:p w:rsidR="00501CE0" w:rsidRDefault="00501CE0" w:rsidP="00501CE0">
      <w:pPr>
        <w:pStyle w:val="af"/>
        <w:spacing w:after="0" w:line="360" w:lineRule="auto"/>
        <w:ind w:left="651"/>
        <w:jc w:val="both"/>
        <w:rPr>
          <w:rFonts w:ascii="David" w:hAnsi="David" w:cs="David"/>
          <w:b/>
          <w:bCs/>
          <w:sz w:val="24"/>
          <w:szCs w:val="24"/>
          <w:rtl/>
        </w:rPr>
      </w:pPr>
      <w:r>
        <w:rPr>
          <w:noProof/>
        </w:rPr>
        <w:drawing>
          <wp:inline distT="0" distB="0" distL="0" distR="0">
            <wp:extent cx="4556125" cy="1105535"/>
            <wp:effectExtent l="0" t="0" r="0" b="0"/>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56125" cy="1105535"/>
                    </a:xfrm>
                    <a:prstGeom prst="rect">
                      <a:avLst/>
                    </a:prstGeom>
                    <a:noFill/>
                    <a:ln>
                      <a:noFill/>
                    </a:ln>
                  </pic:spPr>
                </pic:pic>
              </a:graphicData>
            </a:graphic>
          </wp:inline>
        </w:drawing>
      </w:r>
    </w:p>
    <w:p w:rsidR="00501CE0" w:rsidRDefault="00501CE0" w:rsidP="00501CE0">
      <w:pPr>
        <w:pStyle w:val="af"/>
        <w:numPr>
          <w:ilvl w:val="0"/>
          <w:numId w:val="1"/>
        </w:numPr>
        <w:spacing w:after="0" w:line="360" w:lineRule="auto"/>
        <w:jc w:val="both"/>
        <w:rPr>
          <w:rFonts w:ascii="David" w:hAnsi="David" w:cs="David"/>
          <w:b/>
          <w:bCs/>
          <w:sz w:val="24"/>
          <w:szCs w:val="24"/>
        </w:rPr>
      </w:pPr>
      <w:r>
        <w:rPr>
          <w:rFonts w:ascii="David" w:hAnsi="David" w:cs="David"/>
          <w:b/>
          <w:bCs/>
          <w:sz w:val="24"/>
          <w:szCs w:val="24"/>
          <w:rtl/>
        </w:rPr>
        <w:t xml:space="preserve">האישה שבה ומדגישה </w:t>
      </w:r>
      <w:r>
        <w:rPr>
          <w:rFonts w:ascii="David" w:hAnsi="David" w:cs="David"/>
          <w:sz w:val="24"/>
          <w:szCs w:val="24"/>
          <w:rtl/>
        </w:rPr>
        <w:t xml:space="preserve">כי לא חל כל שינוי נסיבות בעניין הסדרי השהות שכן מאז שהחלו לנהל הליכים משפטיים, בשנת 2014, האיש לקח את הקטינה בימי ב' ו-ה' מהמסגרת כולל לינה ובנוסף כל סופ"ש שני כולל מוצ"ש עד ליום ראשון עת השיבה למסגרת החינוכית. האישה מציינת כי התנהלות זו התקיימה שנים רבות עד שהאיש החליט להגיש תביעה למשמורת בלעדית בחודש 1/2018. </w:t>
      </w:r>
    </w:p>
    <w:p w:rsidR="00501CE0" w:rsidRDefault="00501CE0" w:rsidP="00501CE0">
      <w:pPr>
        <w:pStyle w:val="af"/>
        <w:spacing w:after="0" w:line="360" w:lineRule="auto"/>
        <w:ind w:left="651"/>
        <w:jc w:val="both"/>
        <w:rPr>
          <w:rFonts w:ascii="David" w:hAnsi="David" w:cs="David"/>
          <w:b/>
          <w:bCs/>
          <w:sz w:val="24"/>
          <w:szCs w:val="24"/>
        </w:rPr>
      </w:pPr>
      <w:r>
        <w:rPr>
          <w:rFonts w:ascii="David" w:hAnsi="David" w:cs="David"/>
          <w:sz w:val="24"/>
          <w:szCs w:val="24"/>
          <w:rtl/>
        </w:rPr>
        <w:t xml:space="preserve"> </w:t>
      </w:r>
    </w:p>
    <w:p w:rsidR="00501CE0" w:rsidRDefault="00501CE0" w:rsidP="00501CE0">
      <w:pPr>
        <w:pStyle w:val="af"/>
        <w:numPr>
          <w:ilvl w:val="0"/>
          <w:numId w:val="1"/>
        </w:numPr>
        <w:spacing w:after="0" w:line="360" w:lineRule="auto"/>
        <w:jc w:val="both"/>
        <w:rPr>
          <w:rFonts w:ascii="David" w:hAnsi="David" w:cs="David"/>
          <w:b/>
          <w:bCs/>
          <w:sz w:val="24"/>
          <w:szCs w:val="24"/>
        </w:rPr>
      </w:pPr>
      <w:r>
        <w:rPr>
          <w:rFonts w:ascii="David" w:hAnsi="David" w:cs="David"/>
          <w:b/>
          <w:bCs/>
          <w:sz w:val="24"/>
          <w:szCs w:val="24"/>
          <w:rtl/>
        </w:rPr>
        <w:t>לטענת האישה</w:t>
      </w:r>
      <w:r>
        <w:rPr>
          <w:rFonts w:ascii="David" w:hAnsi="David" w:cs="David"/>
          <w:sz w:val="24"/>
          <w:szCs w:val="24"/>
          <w:rtl/>
        </w:rPr>
        <w:t>,</w:t>
      </w:r>
      <w:r>
        <w:rPr>
          <w:rFonts w:ascii="David" w:hAnsi="David" w:cs="David"/>
          <w:b/>
          <w:bCs/>
          <w:sz w:val="24"/>
          <w:szCs w:val="24"/>
          <w:rtl/>
        </w:rPr>
        <w:t xml:space="preserve"> </w:t>
      </w:r>
      <w:r>
        <w:rPr>
          <w:rFonts w:ascii="David" w:hAnsi="David" w:cs="David"/>
          <w:sz w:val="24"/>
          <w:szCs w:val="24"/>
          <w:rtl/>
        </w:rPr>
        <w:t xml:space="preserve">סכום המזונות כפי שנפסק בראיית ביהמ"ש ובהסכמת הצדדים ולבקשת האיש תוך התחשבות בכך כי הסדרי השהות </w:t>
      </w:r>
      <w:r>
        <w:rPr>
          <w:rFonts w:ascii="David" w:hAnsi="David" w:cs="David"/>
          <w:sz w:val="24"/>
          <w:szCs w:val="24"/>
          <w:u w:val="single"/>
          <w:rtl/>
        </w:rPr>
        <w:t>יורחבו</w:t>
      </w:r>
      <w:r>
        <w:rPr>
          <w:rFonts w:ascii="David" w:hAnsi="David" w:cs="David"/>
          <w:sz w:val="24"/>
          <w:szCs w:val="24"/>
          <w:rtl/>
        </w:rPr>
        <w:t xml:space="preserve"> בתוך זמן קצר מאוד עד לכדי חלוקה שווה אצל כל הורה לרבות חופשים וחגים.  </w:t>
      </w:r>
    </w:p>
    <w:p w:rsidR="00501CE0" w:rsidRDefault="00501CE0" w:rsidP="00501CE0">
      <w:pPr>
        <w:pStyle w:val="af"/>
        <w:rPr>
          <w:rFonts w:ascii="David" w:hAnsi="David" w:cs="David"/>
          <w:b/>
          <w:bCs/>
          <w:sz w:val="24"/>
          <w:szCs w:val="24"/>
          <w:rtl/>
        </w:rPr>
      </w:pPr>
    </w:p>
    <w:p w:rsidR="009421DC" w:rsidRDefault="009421DC" w:rsidP="00501CE0">
      <w:pPr>
        <w:pStyle w:val="af"/>
        <w:rPr>
          <w:rFonts w:ascii="David" w:hAnsi="David" w:cs="David"/>
          <w:b/>
          <w:bCs/>
          <w:sz w:val="24"/>
          <w:szCs w:val="24"/>
          <w:rtl/>
        </w:rPr>
      </w:pPr>
    </w:p>
    <w:p w:rsidR="009421DC" w:rsidRDefault="009421DC" w:rsidP="00501CE0">
      <w:pPr>
        <w:pStyle w:val="af"/>
        <w:rPr>
          <w:rFonts w:ascii="David" w:hAnsi="David" w:cs="David"/>
          <w:b/>
          <w:bCs/>
          <w:sz w:val="24"/>
          <w:szCs w:val="24"/>
          <w:rtl/>
        </w:rPr>
      </w:pPr>
    </w:p>
    <w:p w:rsidR="009421DC" w:rsidRDefault="009421DC" w:rsidP="00501CE0">
      <w:pPr>
        <w:pStyle w:val="af"/>
        <w:rPr>
          <w:rFonts w:ascii="David" w:hAnsi="David" w:cs="David"/>
          <w:b/>
          <w:bCs/>
          <w:sz w:val="24"/>
          <w:szCs w:val="24"/>
          <w:rtl/>
        </w:rPr>
      </w:pPr>
    </w:p>
    <w:p w:rsidR="009421DC" w:rsidRDefault="009421DC" w:rsidP="00501CE0">
      <w:pPr>
        <w:pStyle w:val="af"/>
        <w:rPr>
          <w:rFonts w:ascii="David" w:hAnsi="David" w:cs="David"/>
          <w:b/>
          <w:bCs/>
          <w:sz w:val="24"/>
          <w:szCs w:val="24"/>
        </w:rPr>
      </w:pPr>
    </w:p>
    <w:p w:rsidR="00501CE0" w:rsidRDefault="00501CE0" w:rsidP="00501CE0">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lastRenderedPageBreak/>
        <w:t xml:space="preserve">במסגרת חקירתו, אישר האיש כי הסדרי השהות הורחבו </w:t>
      </w:r>
      <w:r>
        <w:rPr>
          <w:rFonts w:ascii="David" w:hAnsi="David" w:cs="David"/>
          <w:sz w:val="24"/>
          <w:szCs w:val="24"/>
          <w:u w:val="single"/>
          <w:rtl/>
        </w:rPr>
        <w:t>עוד בשנת 2016</w:t>
      </w:r>
      <w:r>
        <w:rPr>
          <w:rFonts w:ascii="David" w:hAnsi="David" w:cs="David"/>
          <w:sz w:val="24"/>
          <w:szCs w:val="24"/>
          <w:rtl/>
        </w:rPr>
        <w:t>, כאשר תביעה זו הוגשה בחודש 3/2020:</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Pr>
      </w:pPr>
      <w:r>
        <w:rPr>
          <w:rFonts w:ascii="Arial" w:hAnsi="Arial" w:cs="David"/>
          <w:sz w:val="24"/>
          <w:szCs w:val="24"/>
          <w:u w:val="none"/>
          <w:rtl/>
        </w:rPr>
        <w:t xml:space="preserve">"ש: [..] </w:t>
      </w:r>
      <w:r>
        <w:rPr>
          <w:rFonts w:ascii="Arial" w:hAnsi="Arial" w:cs="David"/>
          <w:sz w:val="24"/>
          <w:szCs w:val="24"/>
          <w:rtl/>
        </w:rPr>
        <w:t>בכל מקרה בשנת 2016</w:t>
      </w:r>
      <w:r>
        <w:rPr>
          <w:rFonts w:ascii="Arial" w:hAnsi="Arial" w:cs="David"/>
          <w:sz w:val="24"/>
          <w:szCs w:val="24"/>
          <w:u w:val="none"/>
          <w:rtl/>
        </w:rPr>
        <w:t>?</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ת: </w:t>
      </w:r>
      <w:r>
        <w:rPr>
          <w:rFonts w:ascii="Arial" w:hAnsi="Arial" w:cs="David"/>
          <w:sz w:val="24"/>
          <w:szCs w:val="24"/>
          <w:rtl/>
        </w:rPr>
        <w:t>כן</w:t>
      </w:r>
      <w:r>
        <w:rPr>
          <w:rFonts w:ascii="Arial" w:hAnsi="Arial" w:cs="David"/>
          <w:sz w:val="24"/>
          <w:szCs w:val="24"/>
          <w:u w:val="none"/>
          <w:rtl/>
        </w:rPr>
        <w:t>.</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ש: </w:t>
      </w:r>
      <w:r>
        <w:rPr>
          <w:rFonts w:ascii="Arial" w:hAnsi="Arial" w:cs="David"/>
          <w:sz w:val="24"/>
          <w:szCs w:val="24"/>
          <w:rtl/>
        </w:rPr>
        <w:t>הסדרי הראייה</w:t>
      </w:r>
      <w:bookmarkStart w:id="1" w:name="_ETM_Q_1373036"/>
      <w:bookmarkEnd w:id="1"/>
      <w:r>
        <w:rPr>
          <w:rFonts w:ascii="Arial" w:hAnsi="Arial" w:cs="David"/>
          <w:sz w:val="24"/>
          <w:szCs w:val="24"/>
          <w:rtl/>
        </w:rPr>
        <w:t xml:space="preserve"> הורחבו</w:t>
      </w:r>
      <w:r>
        <w:rPr>
          <w:rFonts w:ascii="Arial" w:hAnsi="Arial" w:cs="David"/>
          <w:sz w:val="24"/>
          <w:szCs w:val="24"/>
          <w:u w:val="none"/>
          <w:rtl/>
        </w:rPr>
        <w:t>, נכון?</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r>
        <w:rPr>
          <w:rFonts w:ascii="Arial" w:hAnsi="Arial" w:cs="David"/>
          <w:sz w:val="24"/>
          <w:szCs w:val="24"/>
          <w:u w:val="none"/>
          <w:rtl/>
        </w:rPr>
        <w:t>ת</w:t>
      </w:r>
      <w:r>
        <w:rPr>
          <w:rFonts w:ascii="Arial" w:hAnsi="Arial" w:cs="David"/>
          <w:sz w:val="24"/>
          <w:szCs w:val="24"/>
          <w:rtl/>
        </w:rPr>
        <w:t xml:space="preserve">: ל-6-8, כן. </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ש: </w:t>
      </w:r>
      <w:r>
        <w:rPr>
          <w:rFonts w:ascii="Arial" w:hAnsi="Arial" w:cs="David"/>
          <w:sz w:val="24"/>
          <w:szCs w:val="24"/>
          <w:rtl/>
        </w:rPr>
        <w:t>זאת אומרת, זה לפני עוד מעט 5 שנים</w:t>
      </w:r>
      <w:r>
        <w:rPr>
          <w:rFonts w:ascii="Arial" w:hAnsi="Arial" w:cs="David"/>
          <w:sz w:val="24"/>
          <w:szCs w:val="24"/>
          <w:u w:val="none"/>
          <w:rtl/>
        </w:rPr>
        <w:t xml:space="preserve">. </w:t>
      </w:r>
      <w:bookmarkStart w:id="2" w:name="_ETM_Q_1377917"/>
      <w:bookmarkEnd w:id="2"/>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ת: </w:t>
      </w:r>
      <w:r>
        <w:rPr>
          <w:rFonts w:ascii="Arial" w:hAnsi="Arial" w:cs="David"/>
          <w:sz w:val="24"/>
          <w:szCs w:val="24"/>
          <w:rtl/>
        </w:rPr>
        <w:t>4 שנים, מ-2010, כן, 16, נכון.</w:t>
      </w:r>
      <w:r>
        <w:rPr>
          <w:rFonts w:ascii="Arial" w:hAnsi="Arial" w:cs="David"/>
          <w:sz w:val="24"/>
          <w:szCs w:val="24"/>
          <w:u w:val="none"/>
          <w:rtl/>
        </w:rPr>
        <w:t xml:space="preserve"> </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ש: או קיי. </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ת: כן. </w:t>
      </w:r>
      <w:r>
        <w:rPr>
          <w:rFonts w:ascii="Arial" w:hAnsi="Arial" w:cs="David"/>
          <w:sz w:val="24"/>
          <w:szCs w:val="24"/>
          <w:rtl/>
        </w:rPr>
        <w:t xml:space="preserve">וגם </w:t>
      </w:r>
      <w:bookmarkStart w:id="3" w:name="_ETM_Q_1384174"/>
      <w:bookmarkEnd w:id="3"/>
      <w:r>
        <w:rPr>
          <w:rFonts w:ascii="Arial" w:hAnsi="Arial" w:cs="David"/>
          <w:sz w:val="24"/>
          <w:szCs w:val="24"/>
          <w:rtl/>
        </w:rPr>
        <w:t>פה ביקשתי שתהיה כבר משמורת משותפת וסירבתם</w:t>
      </w:r>
      <w:r>
        <w:rPr>
          <w:rFonts w:ascii="Arial" w:hAnsi="Arial" w:cs="David"/>
          <w:sz w:val="24"/>
          <w:szCs w:val="24"/>
          <w:u w:val="none"/>
          <w:rtl/>
        </w:rPr>
        <w:t>,</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r>
        <w:rPr>
          <w:rFonts w:ascii="Arial" w:hAnsi="Arial" w:cs="David"/>
          <w:sz w:val="24"/>
          <w:szCs w:val="24"/>
          <w:u w:val="none"/>
          <w:rtl/>
        </w:rPr>
        <w:t>ש: ב</w:t>
      </w:r>
      <w:r>
        <w:rPr>
          <w:rFonts w:ascii="Arial" w:hAnsi="Arial" w:cs="David"/>
          <w:sz w:val="24"/>
          <w:szCs w:val="24"/>
          <w:rtl/>
        </w:rPr>
        <w:t xml:space="preserve">-2018 הגשת תביעה למשמורת </w:t>
      </w:r>
      <w:bookmarkStart w:id="4" w:name="_ETM_Q_1389946"/>
      <w:bookmarkEnd w:id="4"/>
      <w:r>
        <w:rPr>
          <w:rFonts w:ascii="Arial" w:hAnsi="Arial" w:cs="David"/>
          <w:sz w:val="24"/>
          <w:szCs w:val="24"/>
          <w:rtl/>
        </w:rPr>
        <w:t>בלעדית</w:t>
      </w:r>
      <w:r>
        <w:rPr>
          <w:rFonts w:ascii="Arial" w:hAnsi="Arial" w:cs="David"/>
          <w:sz w:val="24"/>
          <w:szCs w:val="24"/>
          <w:u w:val="none"/>
          <w:rtl/>
        </w:rPr>
        <w:t>.</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ת: ואמרת לי "תגיש תביעה חדשה". יש את המסמכים </w:t>
      </w:r>
      <w:bookmarkStart w:id="5" w:name="_ETM_Q_1392313"/>
      <w:bookmarkEnd w:id="5"/>
      <w:r>
        <w:rPr>
          <w:rFonts w:ascii="Arial" w:hAnsi="Arial" w:cs="David"/>
          <w:sz w:val="24"/>
          <w:szCs w:val="24"/>
          <w:u w:val="none"/>
          <w:rtl/>
        </w:rPr>
        <w:t>האלה.</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r>
        <w:rPr>
          <w:rFonts w:ascii="Arial" w:hAnsi="Arial" w:cs="David"/>
          <w:sz w:val="24"/>
          <w:szCs w:val="24"/>
          <w:u w:val="none"/>
          <w:rtl/>
        </w:rPr>
        <w:t>ש: למשמורת בלעדית?</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r>
        <w:rPr>
          <w:rFonts w:ascii="Arial" w:hAnsi="Arial" w:cs="David"/>
          <w:sz w:val="24"/>
          <w:szCs w:val="24"/>
          <w:u w:val="none"/>
          <w:rtl/>
        </w:rPr>
        <w:t>ת: אמרת "תגיש תביעה. רק אחרי שתגיש תביעה, נדון".</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ש: תביעה </w:t>
      </w:r>
      <w:bookmarkStart w:id="6" w:name="_ETM_Q_1394126"/>
      <w:bookmarkEnd w:id="6"/>
      <w:r>
        <w:rPr>
          <w:rFonts w:ascii="Arial" w:hAnsi="Arial" w:cs="David"/>
          <w:sz w:val="24"/>
          <w:szCs w:val="24"/>
          <w:u w:val="none"/>
          <w:rtl/>
        </w:rPr>
        <w:t>למשמורת בלעדית?</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ת: ומה פתאום משמורת? מעולם לא הוסכם. </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ש: אתה הגשת תביעה </w:t>
      </w:r>
      <w:bookmarkStart w:id="7" w:name="_ETM_Q_1399287"/>
      <w:bookmarkEnd w:id="7"/>
      <w:r>
        <w:rPr>
          <w:rFonts w:ascii="Arial" w:hAnsi="Arial" w:cs="David"/>
          <w:sz w:val="24"/>
          <w:szCs w:val="24"/>
          <w:u w:val="none"/>
          <w:rtl/>
        </w:rPr>
        <w:t>למשמורת בלעדית.</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ת: </w:t>
      </w:r>
      <w:r>
        <w:rPr>
          <w:rFonts w:ascii="Arial" w:hAnsi="Arial" w:cs="David"/>
          <w:sz w:val="24"/>
          <w:szCs w:val="24"/>
          <w:rtl/>
        </w:rPr>
        <w:t>אני הגשתי תביעה למשמורת בלעדית</w:t>
      </w:r>
      <w:r>
        <w:rPr>
          <w:rFonts w:ascii="Arial" w:hAnsi="Arial" w:cs="David"/>
          <w:sz w:val="24"/>
          <w:szCs w:val="24"/>
          <w:u w:val="none"/>
          <w:rtl/>
        </w:rPr>
        <w:t xml:space="preserve">[...]" </w:t>
      </w:r>
      <w:r>
        <w:rPr>
          <w:rFonts w:ascii="David" w:hAnsi="David" w:cs="David"/>
          <w:b w:val="0"/>
          <w:bCs w:val="0"/>
          <w:sz w:val="24"/>
          <w:szCs w:val="24"/>
          <w:u w:val="none"/>
          <w:rtl/>
        </w:rPr>
        <w:t>(ההדגשות בקו הוספו).</w:t>
      </w:r>
    </w:p>
    <w:p w:rsidR="00501CE0" w:rsidRDefault="00501CE0" w:rsidP="00501CE0">
      <w:pPr>
        <w:pStyle w:val="af"/>
        <w:spacing w:after="0" w:line="360" w:lineRule="auto"/>
        <w:ind w:left="651"/>
        <w:jc w:val="both"/>
        <w:rPr>
          <w:rFonts w:ascii="David" w:hAnsi="David" w:cs="David"/>
          <w:sz w:val="24"/>
          <w:szCs w:val="24"/>
          <w:rtl/>
        </w:rPr>
      </w:pPr>
      <w:r>
        <w:rPr>
          <w:rFonts w:ascii="David" w:hAnsi="David" w:cs="David"/>
          <w:sz w:val="24"/>
          <w:szCs w:val="24"/>
          <w:rtl/>
        </w:rPr>
        <w:t>(ראו: פרוטוקול מיום 23.11.2020 עמ' 22 שו' 29-33 וגם עמ' 23 שו' 1-15).</w:t>
      </w:r>
    </w:p>
    <w:p w:rsidR="00501CE0" w:rsidRDefault="00501CE0" w:rsidP="00501CE0">
      <w:pPr>
        <w:pStyle w:val="af"/>
        <w:rPr>
          <w:rFonts w:ascii="David" w:hAnsi="David" w:cs="David"/>
          <w:b/>
          <w:bCs/>
          <w:sz w:val="24"/>
          <w:szCs w:val="24"/>
        </w:rPr>
      </w:pPr>
    </w:p>
    <w:p w:rsidR="00501CE0" w:rsidRDefault="00501CE0" w:rsidP="00501CE0">
      <w:pPr>
        <w:pStyle w:val="af"/>
        <w:rPr>
          <w:rFonts w:ascii="David" w:hAnsi="David" w:cs="David"/>
          <w:sz w:val="24"/>
          <w:szCs w:val="24"/>
          <w:rtl/>
        </w:rPr>
      </w:pPr>
    </w:p>
    <w:p w:rsidR="00501CE0" w:rsidRDefault="00501CE0" w:rsidP="00501CE0">
      <w:pPr>
        <w:pStyle w:val="af"/>
        <w:numPr>
          <w:ilvl w:val="0"/>
          <w:numId w:val="1"/>
        </w:numPr>
        <w:spacing w:after="0" w:line="360" w:lineRule="auto"/>
        <w:jc w:val="both"/>
        <w:rPr>
          <w:rFonts w:ascii="David" w:hAnsi="David" w:cs="David"/>
          <w:b/>
          <w:bCs/>
          <w:sz w:val="24"/>
          <w:szCs w:val="24"/>
          <w:rtl/>
        </w:rPr>
      </w:pPr>
      <w:r>
        <w:rPr>
          <w:rFonts w:ascii="David" w:hAnsi="David" w:cs="David"/>
          <w:sz w:val="24"/>
          <w:szCs w:val="24"/>
          <w:rtl/>
        </w:rPr>
        <w:t xml:space="preserve">לשאלת ביהמ"ש באשר להסדרי השהות שהתקיימו לאחר מתן תוקף להסכמות הצדדים ביום 1.6.2014 </w:t>
      </w:r>
      <w:r>
        <w:rPr>
          <w:rFonts w:ascii="David" w:hAnsi="David" w:cs="David"/>
          <w:b/>
          <w:bCs/>
          <w:sz w:val="24"/>
          <w:szCs w:val="24"/>
          <w:rtl/>
        </w:rPr>
        <w:t>האיש</w:t>
      </w:r>
      <w:r>
        <w:rPr>
          <w:rFonts w:ascii="David" w:hAnsi="David" w:cs="David"/>
          <w:sz w:val="24"/>
          <w:szCs w:val="24"/>
          <w:rtl/>
        </w:rPr>
        <w:t xml:space="preserve"> השיב בחקירתו כדלקמן:</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Pr>
      </w:pPr>
      <w:bookmarkStart w:id="8" w:name="_ETM_Q_1980992"/>
      <w:bookmarkEnd w:id="8"/>
      <w:r>
        <w:rPr>
          <w:rFonts w:ascii="Arial" w:hAnsi="Arial" w:cs="David"/>
          <w:sz w:val="24"/>
          <w:szCs w:val="24"/>
          <w:u w:val="none"/>
          <w:rtl/>
        </w:rPr>
        <w:t xml:space="preserve">"כב' הש' שקד: </w:t>
      </w:r>
      <w:r>
        <w:rPr>
          <w:rFonts w:ascii="Arial" w:hAnsi="Arial" w:cs="David"/>
          <w:sz w:val="24"/>
          <w:szCs w:val="24"/>
          <w:rtl/>
        </w:rPr>
        <w:t xml:space="preserve">איך </w:t>
      </w:r>
      <w:bookmarkStart w:id="9" w:name="_ETM_Q_1981860"/>
      <w:bookmarkEnd w:id="9"/>
      <w:r>
        <w:rPr>
          <w:rFonts w:ascii="Arial" w:hAnsi="Arial" w:cs="David"/>
          <w:sz w:val="24"/>
          <w:szCs w:val="24"/>
          <w:rtl/>
        </w:rPr>
        <w:t>היו ההסדרים בינך לבין בילדה ב-2014</w:t>
      </w:r>
      <w:r>
        <w:rPr>
          <w:rFonts w:ascii="Arial" w:hAnsi="Arial" w:cs="David"/>
          <w:sz w:val="24"/>
          <w:szCs w:val="24"/>
          <w:u w:val="none"/>
          <w:rtl/>
        </w:rPr>
        <w:t>?</w:t>
      </w:r>
      <w:bookmarkStart w:id="10" w:name="_ETM_Q_1984361"/>
      <w:bookmarkEnd w:id="10"/>
    </w:p>
    <w:p w:rsidR="00501CE0" w:rsidRDefault="007926FD" w:rsidP="007926FD">
      <w:pPr>
        <w:pStyle w:val="ad"/>
        <w:shd w:val="clear" w:color="auto" w:fill="auto"/>
        <w:tabs>
          <w:tab w:val="left" w:pos="273"/>
        </w:tabs>
        <w:spacing w:line="360" w:lineRule="auto"/>
        <w:ind w:left="567" w:firstLine="0"/>
        <w:jc w:val="both"/>
        <w:rPr>
          <w:rFonts w:ascii="Arial" w:hAnsi="Arial" w:cs="David"/>
          <w:sz w:val="24"/>
          <w:szCs w:val="24"/>
          <w:u w:val="none"/>
          <w:rtl/>
        </w:rPr>
      </w:pPr>
      <w:r>
        <w:rPr>
          <w:rFonts w:ascii="Arial" w:hAnsi="Arial" w:cs="David" w:hint="cs"/>
          <w:sz w:val="24"/>
          <w:szCs w:val="24"/>
          <w:u w:val="none"/>
          <w:rtl/>
        </w:rPr>
        <w:t>האב</w:t>
      </w:r>
      <w:r w:rsidR="00501CE0">
        <w:rPr>
          <w:rFonts w:ascii="Arial" w:hAnsi="Arial" w:cs="David"/>
          <w:sz w:val="24"/>
          <w:szCs w:val="24"/>
          <w:u w:val="none"/>
          <w:rtl/>
        </w:rPr>
        <w:t>: אז סליחה שאני קצת</w:t>
      </w:r>
      <w:bookmarkStart w:id="11" w:name="_ETM_Q_1983864"/>
      <w:bookmarkEnd w:id="11"/>
      <w:r w:rsidR="00501CE0">
        <w:rPr>
          <w:rFonts w:ascii="Arial" w:hAnsi="Arial" w:cs="David"/>
          <w:sz w:val="24"/>
          <w:szCs w:val="24"/>
          <w:u w:val="none"/>
          <w:rtl/>
        </w:rPr>
        <w:t xml:space="preserve"> מחדד את השאלה. אדוני שואל עד פסק הדין או מפסק </w:t>
      </w:r>
      <w:bookmarkStart w:id="12" w:name="_ETM_Q_1988913"/>
      <w:bookmarkEnd w:id="12"/>
      <w:r w:rsidR="00501CE0">
        <w:rPr>
          <w:rFonts w:ascii="Arial" w:hAnsi="Arial" w:cs="David"/>
          <w:sz w:val="24"/>
          <w:szCs w:val="24"/>
          <w:u w:val="none"/>
          <w:rtl/>
        </w:rPr>
        <w:t>הדין? מה ההסכם? כי ב-01.06.14,</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bookmarkStart w:id="13" w:name="_ETM_Q_1990610"/>
      <w:bookmarkEnd w:id="13"/>
      <w:r>
        <w:rPr>
          <w:rFonts w:ascii="Arial" w:hAnsi="Arial" w:cs="David"/>
          <w:sz w:val="24"/>
          <w:szCs w:val="24"/>
          <w:u w:val="none"/>
          <w:rtl/>
        </w:rPr>
        <w:t xml:space="preserve">כב' הש' שקד: מה שהיה אחרי פסק הדין זה </w:t>
      </w:r>
      <w:bookmarkStart w:id="14" w:name="_ETM_Q_1993032"/>
      <w:bookmarkEnd w:id="14"/>
      <w:r>
        <w:rPr>
          <w:rFonts w:ascii="Arial" w:hAnsi="Arial" w:cs="David"/>
          <w:sz w:val="24"/>
          <w:szCs w:val="24"/>
          <w:u w:val="none"/>
          <w:rtl/>
        </w:rPr>
        <w:t xml:space="preserve">שינוי נסיבות. מה היה פסק הדין? כשהשופט פסק את מה </w:t>
      </w:r>
      <w:bookmarkStart w:id="15" w:name="_ETM_Q_1997857"/>
      <w:bookmarkEnd w:id="15"/>
      <w:r>
        <w:rPr>
          <w:rFonts w:ascii="Arial" w:hAnsi="Arial" w:cs="David"/>
          <w:sz w:val="24"/>
          <w:szCs w:val="24"/>
          <w:u w:val="none"/>
          <w:rtl/>
        </w:rPr>
        <w:t>שהוא פסק, מה היה לנגד עיניו?</w:t>
      </w:r>
      <w:bookmarkStart w:id="16" w:name="_ETM_Q_1997976"/>
      <w:bookmarkEnd w:id="16"/>
    </w:p>
    <w:p w:rsidR="00501CE0" w:rsidRDefault="007926FD" w:rsidP="007926FD">
      <w:pPr>
        <w:pStyle w:val="ad"/>
        <w:shd w:val="clear" w:color="auto" w:fill="auto"/>
        <w:tabs>
          <w:tab w:val="left" w:pos="273"/>
        </w:tabs>
        <w:spacing w:line="360" w:lineRule="auto"/>
        <w:ind w:left="567" w:firstLine="0"/>
        <w:jc w:val="both"/>
        <w:rPr>
          <w:rFonts w:ascii="Arial" w:hAnsi="Arial" w:cs="David"/>
          <w:sz w:val="24"/>
          <w:szCs w:val="24"/>
          <w:u w:val="none"/>
          <w:rtl/>
        </w:rPr>
      </w:pPr>
      <w:r>
        <w:rPr>
          <w:rFonts w:ascii="Arial" w:hAnsi="Arial" w:cs="David" w:hint="cs"/>
          <w:sz w:val="24"/>
          <w:szCs w:val="24"/>
          <w:u w:val="none"/>
          <w:rtl/>
        </w:rPr>
        <w:t>האב</w:t>
      </w:r>
      <w:r w:rsidR="00501CE0">
        <w:rPr>
          <w:rFonts w:ascii="Arial" w:hAnsi="Arial" w:cs="David"/>
          <w:sz w:val="24"/>
          <w:szCs w:val="24"/>
          <w:u w:val="none"/>
          <w:rtl/>
        </w:rPr>
        <w:t xml:space="preserve">: אז כמו שאמרתי, </w:t>
      </w:r>
      <w:r w:rsidR="00501CE0">
        <w:rPr>
          <w:rFonts w:ascii="Arial" w:hAnsi="Arial" w:cs="David"/>
          <w:sz w:val="24"/>
          <w:szCs w:val="24"/>
          <w:rtl/>
        </w:rPr>
        <w:t xml:space="preserve">אנחנו </w:t>
      </w:r>
      <w:bookmarkStart w:id="17" w:name="_ETM_Q_2002127"/>
      <w:bookmarkEnd w:id="17"/>
      <w:r w:rsidR="00501CE0">
        <w:rPr>
          <w:rFonts w:ascii="Arial" w:hAnsi="Arial" w:cs="David"/>
          <w:sz w:val="24"/>
          <w:szCs w:val="24"/>
          <w:rtl/>
        </w:rPr>
        <w:t xml:space="preserve">הגענו לבימ"ש כשהילדה למעשה, חוץ מחופשות או כל מיני </w:t>
      </w:r>
      <w:bookmarkStart w:id="18" w:name="_ETM_Q_2006576"/>
      <w:bookmarkEnd w:id="18"/>
      <w:r w:rsidR="00501CE0">
        <w:rPr>
          <w:rFonts w:ascii="Arial" w:hAnsi="Arial" w:cs="David"/>
          <w:sz w:val="24"/>
          <w:szCs w:val="24"/>
          <w:rtl/>
        </w:rPr>
        <w:t xml:space="preserve">סופי שבוע, הייתי רואה אותה רק שני וחמישי מ-16:00 </w:t>
      </w:r>
      <w:bookmarkStart w:id="19" w:name="_ETM_Q_2011072"/>
      <w:bookmarkEnd w:id="19"/>
      <w:r w:rsidR="00501CE0">
        <w:rPr>
          <w:rFonts w:ascii="Arial" w:hAnsi="Arial" w:cs="David"/>
          <w:sz w:val="24"/>
          <w:szCs w:val="24"/>
          <w:rtl/>
        </w:rPr>
        <w:t xml:space="preserve">עד 19:30. פסק הדין, בהסכם דובר על זה שיהיה </w:t>
      </w:r>
      <w:bookmarkStart w:id="20" w:name="_ETM_Q_2016465"/>
      <w:bookmarkEnd w:id="20"/>
      <w:r w:rsidR="00501CE0">
        <w:rPr>
          <w:rFonts w:ascii="Arial" w:hAnsi="Arial" w:cs="David"/>
          <w:sz w:val="24"/>
          <w:szCs w:val="24"/>
          <w:rtl/>
        </w:rPr>
        <w:t xml:space="preserve">כמובן כל סוף שבוע לסירוגין, כאשר עש פעימה ראשונה שתתחיל </w:t>
      </w:r>
      <w:bookmarkStart w:id="21" w:name="_ETM_Q_2021075"/>
      <w:bookmarkEnd w:id="21"/>
      <w:r w:rsidR="00501CE0">
        <w:rPr>
          <w:rFonts w:ascii="Arial" w:hAnsi="Arial" w:cs="David"/>
          <w:sz w:val="24"/>
          <w:szCs w:val="24"/>
          <w:rtl/>
        </w:rPr>
        <w:t xml:space="preserve">אחרי חודש בימי חמישי פעם בשבועיים, שזה לא בשבת שהיא איתי. </w:t>
      </w:r>
      <w:bookmarkStart w:id="22" w:name="_ETM_Q_2026386"/>
      <w:bookmarkEnd w:id="22"/>
      <w:r w:rsidR="00501CE0">
        <w:rPr>
          <w:rFonts w:ascii="Arial" w:hAnsi="Arial" w:cs="David"/>
          <w:sz w:val="24"/>
          <w:szCs w:val="24"/>
          <w:rtl/>
        </w:rPr>
        <w:t xml:space="preserve">אחרי חודש פעימה נוספת שזה גם מוצאי שבת, ואחרי </w:t>
      </w:r>
      <w:bookmarkStart w:id="23" w:name="_ETM_Q_2032098"/>
      <w:bookmarkEnd w:id="23"/>
      <w:r w:rsidR="00501CE0">
        <w:rPr>
          <w:rFonts w:ascii="Arial" w:hAnsi="Arial" w:cs="David"/>
          <w:sz w:val="24"/>
          <w:szCs w:val="24"/>
          <w:rtl/>
        </w:rPr>
        <w:t xml:space="preserve">3 חודשים דובר על פעימה נוספת שנכתב לא טוב שזה </w:t>
      </w:r>
      <w:bookmarkStart w:id="24" w:name="_ETM_Q_2034355"/>
      <w:bookmarkEnd w:id="24"/>
      <w:r w:rsidR="00501CE0">
        <w:rPr>
          <w:rFonts w:ascii="Arial" w:hAnsi="Arial" w:cs="David"/>
          <w:sz w:val="24"/>
          <w:szCs w:val="24"/>
          <w:rtl/>
        </w:rPr>
        <w:t>יישקל לימי שני</w:t>
      </w:r>
      <w:r w:rsidR="00501CE0">
        <w:rPr>
          <w:rFonts w:ascii="Arial" w:hAnsi="Arial" w:cs="David"/>
          <w:sz w:val="24"/>
          <w:szCs w:val="24"/>
          <w:u w:val="none"/>
          <w:rtl/>
        </w:rPr>
        <w:t xml:space="preserve">. עכשיו, הציפייה שלי הייתה, וככה גם </w:t>
      </w:r>
      <w:bookmarkStart w:id="25" w:name="_ETM_Q_2040723"/>
      <w:bookmarkEnd w:id="25"/>
      <w:r w:rsidR="00501CE0">
        <w:rPr>
          <w:rFonts w:ascii="Arial" w:hAnsi="Arial" w:cs="David"/>
          <w:sz w:val="24"/>
          <w:szCs w:val="24"/>
          <w:u w:val="none"/>
          <w:rtl/>
        </w:rPr>
        <w:t>הבנתי את פסק הדין, שזה מה שיהיה. זאת אומרת, יהיה ימי</w:t>
      </w:r>
      <w:bookmarkStart w:id="26" w:name="_ETM_Q_2044899"/>
      <w:bookmarkEnd w:id="26"/>
      <w:r w:rsidR="00501CE0">
        <w:rPr>
          <w:rFonts w:ascii="Arial" w:hAnsi="Arial" w:cs="David"/>
          <w:sz w:val="24"/>
          <w:szCs w:val="24"/>
          <w:u w:val="none"/>
          <w:rtl/>
        </w:rPr>
        <w:t xml:space="preserve"> שני בשבוע, יהיו ימי חמישי פעם בשבועיים,</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bookmarkStart w:id="27" w:name="_ETM_Q_2047357"/>
      <w:bookmarkEnd w:id="27"/>
      <w:r>
        <w:rPr>
          <w:rFonts w:ascii="Arial" w:hAnsi="Arial" w:cs="David"/>
          <w:sz w:val="24"/>
          <w:szCs w:val="24"/>
          <w:u w:val="none"/>
          <w:rtl/>
        </w:rPr>
        <w:lastRenderedPageBreak/>
        <w:t>כב' הש' שקד:</w:t>
      </w:r>
      <w:r>
        <w:rPr>
          <w:rFonts w:ascii="Arial" w:hAnsi="Arial" w:cs="David"/>
          <w:sz w:val="24"/>
          <w:szCs w:val="24"/>
          <w:u w:val="none"/>
          <w:rtl/>
        </w:rPr>
        <w:tab/>
        <w:t>עם לינה&lt;</w:t>
      </w:r>
    </w:p>
    <w:p w:rsidR="00501CE0" w:rsidRDefault="007926FD" w:rsidP="00501CE0">
      <w:pPr>
        <w:pStyle w:val="ad"/>
        <w:shd w:val="clear" w:color="auto" w:fill="auto"/>
        <w:tabs>
          <w:tab w:val="left" w:pos="273"/>
        </w:tabs>
        <w:spacing w:line="360" w:lineRule="auto"/>
        <w:ind w:left="567" w:firstLine="0"/>
        <w:jc w:val="both"/>
        <w:rPr>
          <w:rFonts w:ascii="Arial" w:hAnsi="Arial" w:cs="David"/>
          <w:sz w:val="24"/>
          <w:szCs w:val="24"/>
          <w:u w:val="none"/>
          <w:rtl/>
        </w:rPr>
      </w:pPr>
      <w:bookmarkStart w:id="28" w:name="_ETM_Q_2046332"/>
      <w:bookmarkEnd w:id="28"/>
      <w:r>
        <w:rPr>
          <w:rFonts w:ascii="Arial" w:hAnsi="Arial" w:cs="David" w:hint="cs"/>
          <w:sz w:val="24"/>
          <w:szCs w:val="24"/>
          <w:u w:val="none"/>
          <w:rtl/>
        </w:rPr>
        <w:t>האב</w:t>
      </w:r>
      <w:r w:rsidR="00501CE0">
        <w:rPr>
          <w:rFonts w:ascii="Arial" w:hAnsi="Arial" w:cs="David"/>
          <w:sz w:val="24"/>
          <w:szCs w:val="24"/>
          <w:u w:val="none"/>
          <w:rtl/>
        </w:rPr>
        <w:t>:</w:t>
      </w:r>
      <w:r w:rsidR="00501CE0">
        <w:rPr>
          <w:rFonts w:ascii="Arial" w:hAnsi="Arial" w:cs="David"/>
          <w:sz w:val="24"/>
          <w:szCs w:val="24"/>
          <w:u w:val="none"/>
          <w:rtl/>
        </w:rPr>
        <w:tab/>
        <w:t xml:space="preserve">ימי שני </w:t>
      </w:r>
      <w:bookmarkStart w:id="29" w:name="_ETM_Q_2048109"/>
      <w:bookmarkEnd w:id="29"/>
      <w:r w:rsidR="00501CE0">
        <w:rPr>
          <w:rFonts w:ascii="Arial" w:hAnsi="Arial" w:cs="David"/>
          <w:sz w:val="24"/>
          <w:szCs w:val="24"/>
          <w:u w:val="none"/>
          <w:rtl/>
        </w:rPr>
        <w:t xml:space="preserve">עם לינה, ימי חמישי פעם בשבועיים עם לינה, ושישי שבת. </w:t>
      </w:r>
      <w:bookmarkStart w:id="30" w:name="_ETM_Q_2052727"/>
      <w:bookmarkEnd w:id="30"/>
      <w:r w:rsidR="00501CE0">
        <w:rPr>
          <w:rFonts w:ascii="Arial" w:hAnsi="Arial" w:cs="David"/>
          <w:sz w:val="24"/>
          <w:szCs w:val="24"/>
          <w:u w:val="none"/>
          <w:rtl/>
        </w:rPr>
        <w:t>זה הזה.</w:t>
      </w:r>
      <w:bookmarkStart w:id="31" w:name="_ETM_Q_2053616"/>
      <w:bookmarkEnd w:id="31"/>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r>
        <w:rPr>
          <w:rFonts w:ascii="Arial" w:hAnsi="Arial" w:cs="David"/>
          <w:sz w:val="24"/>
          <w:szCs w:val="24"/>
          <w:u w:val="none"/>
          <w:rtl/>
        </w:rPr>
        <w:t>כב' הש' שקד:</w:t>
      </w:r>
      <w:r>
        <w:rPr>
          <w:rFonts w:ascii="Arial" w:hAnsi="Arial" w:cs="David"/>
          <w:sz w:val="24"/>
          <w:szCs w:val="24"/>
          <w:u w:val="none"/>
          <w:rtl/>
        </w:rPr>
        <w:tab/>
        <w:t>זאת אומרת, הציפייה שלך הייתה, מה שקורה היום.</w:t>
      </w:r>
      <w:bookmarkStart w:id="32" w:name="_ETM_Q_2054334"/>
      <w:bookmarkEnd w:id="32"/>
    </w:p>
    <w:p w:rsidR="00501CE0" w:rsidRDefault="007926FD" w:rsidP="00501CE0">
      <w:pPr>
        <w:pStyle w:val="ad"/>
        <w:shd w:val="clear" w:color="auto" w:fill="auto"/>
        <w:tabs>
          <w:tab w:val="left" w:pos="273"/>
        </w:tabs>
        <w:spacing w:line="360" w:lineRule="auto"/>
        <w:ind w:left="567" w:firstLine="0"/>
        <w:jc w:val="both"/>
        <w:rPr>
          <w:rFonts w:ascii="Arial" w:hAnsi="Arial" w:cs="David"/>
          <w:sz w:val="24"/>
          <w:szCs w:val="24"/>
          <w:u w:val="none"/>
          <w:rtl/>
        </w:rPr>
      </w:pPr>
      <w:r>
        <w:rPr>
          <w:rFonts w:ascii="Arial" w:hAnsi="Arial" w:cs="David" w:hint="cs"/>
          <w:sz w:val="24"/>
          <w:szCs w:val="24"/>
          <w:u w:val="none"/>
          <w:rtl/>
        </w:rPr>
        <w:t>האב</w:t>
      </w:r>
      <w:r w:rsidR="00501CE0">
        <w:rPr>
          <w:rFonts w:ascii="Arial" w:hAnsi="Arial" w:cs="David"/>
          <w:sz w:val="24"/>
          <w:szCs w:val="24"/>
          <w:u w:val="none"/>
          <w:rtl/>
        </w:rPr>
        <w:t>:</w:t>
      </w:r>
      <w:r w:rsidR="00501CE0">
        <w:rPr>
          <w:rFonts w:ascii="Arial" w:hAnsi="Arial" w:cs="David"/>
          <w:sz w:val="24"/>
          <w:szCs w:val="24"/>
          <w:u w:val="none"/>
          <w:rtl/>
        </w:rPr>
        <w:tab/>
        <w:t xml:space="preserve">לא, ממש </w:t>
      </w:r>
      <w:bookmarkStart w:id="33" w:name="_ETM_Q_2056527"/>
      <w:bookmarkEnd w:id="33"/>
      <w:r w:rsidR="00501CE0">
        <w:rPr>
          <w:rFonts w:ascii="Arial" w:hAnsi="Arial" w:cs="David"/>
          <w:sz w:val="24"/>
          <w:szCs w:val="24"/>
          <w:u w:val="none"/>
          <w:rtl/>
        </w:rPr>
        <w:t>לא. היום זה 7-7 אדוני.</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bookmarkStart w:id="34" w:name="_ETM_Q_2059814"/>
      <w:bookmarkEnd w:id="34"/>
      <w:r>
        <w:rPr>
          <w:rFonts w:ascii="Arial" w:hAnsi="Arial" w:cs="David"/>
          <w:sz w:val="24"/>
          <w:szCs w:val="24"/>
          <w:u w:val="none"/>
          <w:rtl/>
        </w:rPr>
        <w:t>כב' הש' שקד:</w:t>
      </w:r>
      <w:r>
        <w:rPr>
          <w:rFonts w:ascii="Arial" w:hAnsi="Arial" w:cs="David"/>
          <w:sz w:val="24"/>
          <w:szCs w:val="24"/>
          <w:u w:val="none"/>
          <w:rtl/>
        </w:rPr>
        <w:tab/>
        <w:t>או קיי.</w:t>
      </w:r>
      <w:bookmarkStart w:id="35" w:name="_ETM_Q_2057894"/>
      <w:bookmarkEnd w:id="35"/>
    </w:p>
    <w:p w:rsidR="00501CE0" w:rsidRDefault="007926FD" w:rsidP="00501CE0">
      <w:pPr>
        <w:pStyle w:val="ad"/>
        <w:shd w:val="clear" w:color="auto" w:fill="auto"/>
        <w:tabs>
          <w:tab w:val="left" w:pos="273"/>
        </w:tabs>
        <w:spacing w:line="360" w:lineRule="auto"/>
        <w:ind w:left="567" w:firstLine="0"/>
        <w:jc w:val="both"/>
        <w:rPr>
          <w:rFonts w:ascii="Arial" w:hAnsi="Arial" w:cs="David"/>
          <w:sz w:val="24"/>
          <w:szCs w:val="24"/>
          <w:u w:val="none"/>
          <w:rtl/>
        </w:rPr>
      </w:pPr>
      <w:r>
        <w:rPr>
          <w:rFonts w:ascii="Arial" w:hAnsi="Arial" w:cs="David" w:hint="cs"/>
          <w:sz w:val="24"/>
          <w:szCs w:val="24"/>
          <w:u w:val="none"/>
          <w:rtl/>
        </w:rPr>
        <w:t>האב</w:t>
      </w:r>
      <w:r w:rsidR="00501CE0">
        <w:rPr>
          <w:rFonts w:ascii="Arial" w:hAnsi="Arial" w:cs="David"/>
          <w:sz w:val="24"/>
          <w:szCs w:val="24"/>
          <w:u w:val="none"/>
          <w:rtl/>
        </w:rPr>
        <w:t>:</w:t>
      </w:r>
      <w:r w:rsidR="00501CE0">
        <w:rPr>
          <w:rFonts w:ascii="Arial" w:hAnsi="Arial" w:cs="David"/>
          <w:sz w:val="24"/>
          <w:szCs w:val="24"/>
          <w:u w:val="none"/>
          <w:rtl/>
        </w:rPr>
        <w:tab/>
        <w:t xml:space="preserve">היום יש גם, התווסף, קודם </w:t>
      </w:r>
      <w:bookmarkStart w:id="36" w:name="_ETM_Q_2062033"/>
      <w:bookmarkEnd w:id="36"/>
      <w:r w:rsidR="00501CE0">
        <w:rPr>
          <w:rFonts w:ascii="Arial" w:hAnsi="Arial" w:cs="David"/>
          <w:sz w:val="24"/>
          <w:szCs w:val="24"/>
          <w:u w:val="none"/>
          <w:rtl/>
        </w:rPr>
        <w:t>כל על יום שני, היא לא קיימה את זה</w:t>
      </w:r>
      <w:bookmarkStart w:id="37" w:name="_ETM_Q_2064887"/>
      <w:bookmarkEnd w:id="37"/>
      <w:r w:rsidR="00501CE0">
        <w:rPr>
          <w:rFonts w:ascii="Arial" w:hAnsi="Arial" w:cs="David"/>
          <w:sz w:val="24"/>
          <w:szCs w:val="24"/>
          <w:u w:val="none"/>
          <w:rtl/>
        </w:rPr>
        <w:t xml:space="preserve"> והיא נלחמה בזה, גם אני חושב שצירפנו את זה </w:t>
      </w:r>
      <w:bookmarkStart w:id="38" w:name="_ETM_Q_2067176"/>
      <w:bookmarkEnd w:id="38"/>
      <w:r w:rsidR="00501CE0">
        <w:rPr>
          <w:rFonts w:ascii="Arial" w:hAnsi="Arial" w:cs="David"/>
          <w:sz w:val="24"/>
          <w:szCs w:val="24"/>
          <w:u w:val="none"/>
          <w:rtl/>
        </w:rPr>
        <w:t xml:space="preserve">אם אני לא טועה, שהיא אמרה 'מה פתאום, לא סוכם </w:t>
      </w:r>
      <w:bookmarkStart w:id="39" w:name="_ETM_Q_2068359"/>
      <w:bookmarkEnd w:id="39"/>
      <w:r w:rsidR="00501CE0">
        <w:rPr>
          <w:rFonts w:ascii="Arial" w:hAnsi="Arial" w:cs="David"/>
          <w:sz w:val="24"/>
          <w:szCs w:val="24"/>
          <w:u w:val="none"/>
          <w:rtl/>
        </w:rPr>
        <w:t xml:space="preserve">שהורחב ולא הסכמתי, וזה רק יישקל, ושקלתי ואני לא </w:t>
      </w:r>
      <w:bookmarkStart w:id="40" w:name="_ETM_Q_2070730"/>
      <w:bookmarkEnd w:id="40"/>
      <w:r w:rsidR="00501CE0">
        <w:rPr>
          <w:rFonts w:ascii="Arial" w:hAnsi="Arial" w:cs="David"/>
          <w:sz w:val="24"/>
          <w:szCs w:val="24"/>
          <w:u w:val="none"/>
          <w:rtl/>
        </w:rPr>
        <w:t>מוכנה'.</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bookmarkStart w:id="41" w:name="_ETM_Q_2071834"/>
      <w:bookmarkEnd w:id="41"/>
      <w:r>
        <w:rPr>
          <w:rFonts w:ascii="Arial" w:hAnsi="Arial" w:cs="David"/>
          <w:sz w:val="24"/>
          <w:szCs w:val="24"/>
          <w:u w:val="none"/>
          <w:rtl/>
        </w:rPr>
        <w:t>כב' הש' שקד:</w:t>
      </w:r>
      <w:r>
        <w:rPr>
          <w:rFonts w:ascii="Arial" w:hAnsi="Arial" w:cs="David"/>
          <w:sz w:val="24"/>
          <w:szCs w:val="24"/>
          <w:rtl/>
        </w:rPr>
        <w:tab/>
        <w:t>אז מה אתה צפית במועד פסק הדין שיהיה</w:t>
      </w:r>
      <w:r>
        <w:rPr>
          <w:rFonts w:ascii="Arial" w:hAnsi="Arial" w:cs="David"/>
          <w:sz w:val="24"/>
          <w:szCs w:val="24"/>
          <w:u w:val="none"/>
          <w:rtl/>
        </w:rPr>
        <w:t>?</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bookmarkStart w:id="42" w:name="_ETM_Q_2074961"/>
      <w:bookmarkEnd w:id="42"/>
      <w:r>
        <w:rPr>
          <w:rFonts w:ascii="Arial" w:hAnsi="Arial" w:cs="David"/>
          <w:sz w:val="24"/>
          <w:szCs w:val="24"/>
          <w:u w:val="none"/>
          <w:rtl/>
        </w:rPr>
        <w:t>[..]</w:t>
      </w:r>
    </w:p>
    <w:p w:rsidR="00501CE0" w:rsidRDefault="007926FD" w:rsidP="00501CE0">
      <w:pPr>
        <w:pStyle w:val="ad"/>
        <w:shd w:val="clear" w:color="auto" w:fill="auto"/>
        <w:tabs>
          <w:tab w:val="left" w:pos="273"/>
        </w:tabs>
        <w:spacing w:line="360" w:lineRule="auto"/>
        <w:ind w:left="567" w:firstLine="0"/>
        <w:jc w:val="both"/>
        <w:rPr>
          <w:rFonts w:ascii="Arial" w:hAnsi="Arial" w:cs="David"/>
          <w:sz w:val="24"/>
          <w:szCs w:val="24"/>
          <w:u w:val="none"/>
          <w:rtl/>
        </w:rPr>
      </w:pPr>
      <w:bookmarkStart w:id="43" w:name="_ETM_Q_2075966"/>
      <w:bookmarkEnd w:id="43"/>
      <w:r>
        <w:rPr>
          <w:rFonts w:ascii="Arial" w:hAnsi="Arial" w:cs="David" w:hint="cs"/>
          <w:sz w:val="24"/>
          <w:szCs w:val="24"/>
          <w:u w:val="none"/>
          <w:rtl/>
        </w:rPr>
        <w:t>האב</w:t>
      </w:r>
      <w:r w:rsidR="00501CE0">
        <w:rPr>
          <w:rFonts w:ascii="Arial" w:hAnsi="Arial" w:cs="David"/>
          <w:sz w:val="24"/>
          <w:szCs w:val="24"/>
          <w:u w:val="none"/>
          <w:rtl/>
        </w:rPr>
        <w:t>:</w:t>
      </w:r>
      <w:r w:rsidR="00501CE0">
        <w:rPr>
          <w:rFonts w:ascii="Arial" w:hAnsi="Arial" w:cs="David"/>
          <w:sz w:val="24"/>
          <w:szCs w:val="24"/>
          <w:u w:val="none"/>
          <w:rtl/>
        </w:rPr>
        <w:tab/>
      </w:r>
      <w:r w:rsidR="00501CE0">
        <w:rPr>
          <w:rFonts w:ascii="Arial" w:hAnsi="Arial" w:cs="David"/>
          <w:sz w:val="24"/>
          <w:szCs w:val="24"/>
          <w:rtl/>
        </w:rPr>
        <w:t>5-9 כמו שאמרתי</w:t>
      </w:r>
      <w:r w:rsidR="00501CE0">
        <w:rPr>
          <w:rFonts w:ascii="Arial" w:hAnsi="Arial" w:cs="David"/>
          <w:sz w:val="24"/>
          <w:szCs w:val="24"/>
          <w:u w:val="none"/>
          <w:rtl/>
        </w:rPr>
        <w:t>.</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bookmarkStart w:id="44" w:name="_ETM_Q_2079254"/>
      <w:bookmarkEnd w:id="44"/>
      <w:r>
        <w:rPr>
          <w:rFonts w:ascii="Arial" w:hAnsi="Arial" w:cs="David"/>
          <w:sz w:val="24"/>
          <w:szCs w:val="24"/>
          <w:u w:val="none"/>
          <w:rtl/>
        </w:rPr>
        <w:t>כב' הש' שקד:</w:t>
      </w:r>
      <w:r>
        <w:rPr>
          <w:rFonts w:ascii="Arial" w:hAnsi="Arial" w:cs="David"/>
          <w:sz w:val="24"/>
          <w:szCs w:val="24"/>
          <w:u w:val="none"/>
          <w:rtl/>
        </w:rPr>
        <w:tab/>
      </w:r>
      <w:r>
        <w:rPr>
          <w:rFonts w:ascii="Arial" w:hAnsi="Arial" w:cs="David"/>
          <w:sz w:val="24"/>
          <w:szCs w:val="24"/>
          <w:rtl/>
        </w:rPr>
        <w:t>כמה</w:t>
      </w:r>
      <w:r>
        <w:rPr>
          <w:rFonts w:ascii="Arial" w:hAnsi="Arial" w:cs="David"/>
          <w:sz w:val="24"/>
          <w:szCs w:val="24"/>
          <w:u w:val="none"/>
          <w:rtl/>
        </w:rPr>
        <w:t>?</w:t>
      </w:r>
    </w:p>
    <w:p w:rsidR="00501CE0" w:rsidRDefault="007926FD" w:rsidP="00501CE0">
      <w:pPr>
        <w:pStyle w:val="ad"/>
        <w:shd w:val="clear" w:color="auto" w:fill="auto"/>
        <w:tabs>
          <w:tab w:val="left" w:pos="273"/>
        </w:tabs>
        <w:spacing w:line="360" w:lineRule="auto"/>
        <w:ind w:left="567" w:firstLine="0"/>
        <w:jc w:val="both"/>
        <w:rPr>
          <w:rFonts w:ascii="Arial" w:hAnsi="Arial" w:cs="David"/>
          <w:b w:val="0"/>
          <w:bCs w:val="0"/>
          <w:sz w:val="24"/>
          <w:szCs w:val="24"/>
          <w:u w:val="none"/>
          <w:rtl/>
        </w:rPr>
      </w:pPr>
      <w:bookmarkStart w:id="45" w:name="_ETM_Q_2080117"/>
      <w:bookmarkEnd w:id="45"/>
      <w:r>
        <w:rPr>
          <w:rFonts w:ascii="Arial" w:hAnsi="Arial" w:cs="David" w:hint="cs"/>
          <w:sz w:val="24"/>
          <w:szCs w:val="24"/>
          <w:u w:val="none"/>
          <w:rtl/>
        </w:rPr>
        <w:t>האב</w:t>
      </w:r>
      <w:r w:rsidR="00501CE0">
        <w:rPr>
          <w:rFonts w:ascii="Arial" w:hAnsi="Arial" w:cs="David"/>
          <w:sz w:val="24"/>
          <w:szCs w:val="24"/>
          <w:u w:val="none"/>
          <w:rtl/>
        </w:rPr>
        <w:t>:</w:t>
      </w:r>
      <w:r w:rsidR="00501CE0">
        <w:rPr>
          <w:rFonts w:ascii="Arial" w:hAnsi="Arial" w:cs="David"/>
          <w:sz w:val="24"/>
          <w:szCs w:val="24"/>
          <w:u w:val="none"/>
          <w:rtl/>
        </w:rPr>
        <w:tab/>
      </w:r>
      <w:r w:rsidR="00501CE0">
        <w:rPr>
          <w:rFonts w:ascii="Arial" w:hAnsi="Arial" w:cs="David"/>
          <w:sz w:val="24"/>
          <w:szCs w:val="24"/>
          <w:rtl/>
        </w:rPr>
        <w:t xml:space="preserve">5-9. זאת אומרת, שני כל </w:t>
      </w:r>
      <w:bookmarkStart w:id="46" w:name="_ETM_Q_2083195"/>
      <w:bookmarkEnd w:id="46"/>
      <w:r w:rsidR="00501CE0">
        <w:rPr>
          <w:rFonts w:ascii="Arial" w:hAnsi="Arial" w:cs="David"/>
          <w:sz w:val="24"/>
          <w:szCs w:val="24"/>
          <w:rtl/>
        </w:rPr>
        <w:t>שבוע, חמישי פעם בשבועיים עם לינה, ושישי שבת עם לינה</w:t>
      </w:r>
      <w:bookmarkStart w:id="47" w:name="_ETM_Q_2089501"/>
      <w:bookmarkEnd w:id="47"/>
      <w:r w:rsidR="00501CE0">
        <w:rPr>
          <w:rFonts w:ascii="Arial" w:hAnsi="Arial" w:cs="David"/>
          <w:sz w:val="24"/>
          <w:szCs w:val="24"/>
          <w:rtl/>
        </w:rPr>
        <w:t xml:space="preserve"> כמובן</w:t>
      </w:r>
      <w:r w:rsidR="00501CE0">
        <w:rPr>
          <w:rFonts w:ascii="Arial" w:hAnsi="Arial" w:cs="David"/>
          <w:sz w:val="24"/>
          <w:szCs w:val="24"/>
          <w:u w:val="none"/>
          <w:rtl/>
        </w:rPr>
        <w:t>. והיום יש 7-7.</w:t>
      </w:r>
      <w:bookmarkStart w:id="48" w:name="_ETM_Q_2091118"/>
      <w:bookmarkEnd w:id="48"/>
      <w:r w:rsidR="00501CE0">
        <w:rPr>
          <w:rFonts w:ascii="Arial" w:hAnsi="Arial" w:cs="David"/>
          <w:sz w:val="24"/>
          <w:szCs w:val="24"/>
          <w:u w:val="none"/>
          <w:rtl/>
        </w:rPr>
        <w:t xml:space="preserve"> " </w:t>
      </w:r>
      <w:r w:rsidR="00501CE0">
        <w:rPr>
          <w:rFonts w:ascii="David" w:hAnsi="David" w:cs="David"/>
          <w:b w:val="0"/>
          <w:bCs w:val="0"/>
          <w:sz w:val="24"/>
          <w:szCs w:val="24"/>
          <w:u w:val="none"/>
          <w:rtl/>
        </w:rPr>
        <w:t>(ההדגשות בקו הוספו).</w:t>
      </w:r>
    </w:p>
    <w:p w:rsidR="00501CE0" w:rsidRDefault="00501CE0" w:rsidP="00501CE0">
      <w:pPr>
        <w:pStyle w:val="af"/>
        <w:rPr>
          <w:rFonts w:ascii="David" w:hAnsi="David" w:cs="David"/>
          <w:b/>
          <w:bCs/>
          <w:sz w:val="24"/>
          <w:szCs w:val="24"/>
          <w:rtl/>
        </w:rPr>
      </w:pPr>
      <w:r>
        <w:rPr>
          <w:rFonts w:ascii="David" w:hAnsi="David" w:cs="David"/>
          <w:sz w:val="24"/>
          <w:szCs w:val="24"/>
          <w:rtl/>
        </w:rPr>
        <w:t>(ראו פרוטוקול מיום 23.11.2020 עמ' 29 שו' 5-33)</w:t>
      </w:r>
      <w:r>
        <w:rPr>
          <w:rFonts w:ascii="David" w:hAnsi="David" w:cs="David"/>
          <w:b/>
          <w:bCs/>
          <w:sz w:val="24"/>
          <w:szCs w:val="24"/>
          <w:rtl/>
        </w:rPr>
        <w:t>.</w:t>
      </w:r>
    </w:p>
    <w:p w:rsidR="00501CE0" w:rsidRDefault="00501CE0" w:rsidP="00501CE0">
      <w:pPr>
        <w:pStyle w:val="af"/>
        <w:rPr>
          <w:rFonts w:ascii="David" w:hAnsi="David" w:cs="David"/>
          <w:b/>
          <w:bCs/>
          <w:sz w:val="24"/>
          <w:szCs w:val="24"/>
          <w:rtl/>
        </w:rPr>
      </w:pPr>
    </w:p>
    <w:p w:rsidR="00501CE0" w:rsidRDefault="00501CE0" w:rsidP="00501CE0">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בחקירתה השיבה </w:t>
      </w:r>
      <w:r>
        <w:rPr>
          <w:rFonts w:ascii="David" w:hAnsi="David" w:cs="David"/>
          <w:b/>
          <w:bCs/>
          <w:sz w:val="24"/>
          <w:szCs w:val="24"/>
          <w:rtl/>
        </w:rPr>
        <w:t>האישה</w:t>
      </w:r>
      <w:r>
        <w:rPr>
          <w:rFonts w:ascii="David" w:hAnsi="David" w:cs="David"/>
          <w:sz w:val="24"/>
          <w:szCs w:val="24"/>
          <w:rtl/>
        </w:rPr>
        <w:t xml:space="preserve"> כי הרחבת זמני השהות הייתה ידועה וברורה כעולה מפסק הדין ביום 1.6.2014 :</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Pr>
      </w:pPr>
      <w:r>
        <w:rPr>
          <w:rFonts w:ascii="Arial" w:hAnsi="Arial" w:cs="David"/>
          <w:sz w:val="24"/>
          <w:szCs w:val="24"/>
          <w:u w:val="none"/>
          <w:rtl/>
        </w:rPr>
        <w:t xml:space="preserve">"ש: בסעיף 8 וגם בסעיף </w:t>
      </w:r>
      <w:bookmarkStart w:id="49" w:name="_ETM_Q_3338844"/>
      <w:bookmarkEnd w:id="49"/>
      <w:r>
        <w:rPr>
          <w:rFonts w:ascii="Arial" w:hAnsi="Arial" w:cs="David"/>
          <w:sz w:val="24"/>
          <w:szCs w:val="24"/>
          <w:u w:val="none"/>
          <w:rtl/>
        </w:rPr>
        <w:t>15 לכתב התביעה שאת הגשת בתיק שאנחנו דנים בו כאן,</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bookmarkStart w:id="50" w:name="_ETM_Q_3343965"/>
      <w:bookmarkEnd w:id="50"/>
      <w:r>
        <w:rPr>
          <w:rFonts w:ascii="Arial" w:hAnsi="Arial" w:cs="David"/>
          <w:sz w:val="24"/>
          <w:szCs w:val="24"/>
          <w:u w:val="none"/>
          <w:rtl/>
        </w:rPr>
        <w:t>[..]</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bookmarkStart w:id="51" w:name="_ETM_Q_3349660"/>
      <w:bookmarkEnd w:id="51"/>
      <w:r>
        <w:rPr>
          <w:rFonts w:ascii="Arial" w:hAnsi="Arial" w:cs="David"/>
          <w:sz w:val="24"/>
          <w:szCs w:val="24"/>
          <w:u w:val="none"/>
          <w:rtl/>
        </w:rPr>
        <w:t xml:space="preserve">ש: </w:t>
      </w:r>
      <w:r>
        <w:rPr>
          <w:rFonts w:ascii="Arial" w:hAnsi="Arial" w:cs="David"/>
          <w:sz w:val="24"/>
          <w:szCs w:val="24"/>
          <w:rtl/>
        </w:rPr>
        <w:t xml:space="preserve">את כתבת שהרחבת זמני השהות היה עניין </w:t>
      </w:r>
      <w:bookmarkStart w:id="52" w:name="_ETM_Q_3348939"/>
      <w:bookmarkEnd w:id="52"/>
      <w:r>
        <w:rPr>
          <w:rFonts w:ascii="Arial" w:hAnsi="Arial" w:cs="David"/>
          <w:sz w:val="24"/>
          <w:szCs w:val="24"/>
          <w:rtl/>
        </w:rPr>
        <w:t>ידוע מראש</w:t>
      </w:r>
      <w:r>
        <w:rPr>
          <w:rFonts w:ascii="Arial" w:hAnsi="Arial" w:cs="David"/>
          <w:sz w:val="24"/>
          <w:szCs w:val="24"/>
          <w:u w:val="none"/>
          <w:rtl/>
        </w:rPr>
        <w:t>.</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bookmarkStart w:id="53" w:name="_ETM_Q_3351210"/>
      <w:bookmarkEnd w:id="53"/>
      <w:r>
        <w:rPr>
          <w:rFonts w:ascii="Arial" w:hAnsi="Arial" w:cs="David"/>
          <w:sz w:val="24"/>
          <w:szCs w:val="24"/>
          <w:u w:val="none"/>
          <w:rtl/>
        </w:rPr>
        <w:t>ת: נכון.</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bookmarkStart w:id="54" w:name="_ETM_Q_3352310"/>
      <w:bookmarkEnd w:id="54"/>
      <w:r>
        <w:rPr>
          <w:rFonts w:ascii="Arial" w:hAnsi="Arial" w:cs="David"/>
          <w:sz w:val="24"/>
          <w:szCs w:val="24"/>
          <w:u w:val="none"/>
          <w:rtl/>
        </w:rPr>
        <w:t>[..]</w:t>
      </w:r>
    </w:p>
    <w:p w:rsidR="00501CE0" w:rsidRDefault="00501CE0" w:rsidP="007926FD">
      <w:pPr>
        <w:pStyle w:val="ad"/>
        <w:shd w:val="clear" w:color="auto" w:fill="auto"/>
        <w:tabs>
          <w:tab w:val="left" w:pos="273"/>
        </w:tabs>
        <w:spacing w:line="360" w:lineRule="auto"/>
        <w:ind w:left="567" w:firstLine="0"/>
        <w:jc w:val="both"/>
        <w:rPr>
          <w:rFonts w:ascii="Arial" w:hAnsi="Arial" w:cs="David"/>
          <w:sz w:val="24"/>
          <w:szCs w:val="24"/>
          <w:u w:val="none"/>
          <w:rtl/>
        </w:rPr>
      </w:pPr>
      <w:bookmarkStart w:id="55" w:name="_ETM_Q_3365683"/>
      <w:bookmarkEnd w:id="55"/>
      <w:r>
        <w:rPr>
          <w:rFonts w:ascii="Arial" w:hAnsi="Arial" w:cs="David"/>
          <w:sz w:val="24"/>
          <w:szCs w:val="24"/>
          <w:u w:val="none"/>
          <w:rtl/>
        </w:rPr>
        <w:t xml:space="preserve">ש: אוקי. בתיק תמ"ש </w:t>
      </w:r>
      <w:bookmarkStart w:id="56" w:name="_ETM_Q_3366271"/>
      <w:bookmarkEnd w:id="56"/>
      <w:r>
        <w:rPr>
          <w:rFonts w:ascii="Arial" w:hAnsi="Arial" w:cs="David"/>
          <w:sz w:val="24"/>
          <w:szCs w:val="24"/>
          <w:u w:val="none"/>
          <w:rtl/>
        </w:rPr>
        <w:t xml:space="preserve">64422-12-14 </w:t>
      </w:r>
      <w:r w:rsidR="007926FD">
        <w:rPr>
          <w:rFonts w:ascii="Arial" w:hAnsi="Arial" w:cs="David" w:hint="cs"/>
          <w:sz w:val="24"/>
          <w:szCs w:val="24"/>
          <w:u w:val="none"/>
          <w:rtl/>
        </w:rPr>
        <w:t>האב</w:t>
      </w:r>
      <w:r w:rsidR="007926FD">
        <w:rPr>
          <w:rFonts w:ascii="Arial" w:hAnsi="Arial" w:cs="David"/>
          <w:sz w:val="24"/>
          <w:szCs w:val="24"/>
          <w:u w:val="none"/>
          <w:rtl/>
        </w:rPr>
        <w:t xml:space="preserve"> </w:t>
      </w:r>
      <w:r>
        <w:rPr>
          <w:rFonts w:ascii="Arial" w:hAnsi="Arial" w:cs="David"/>
          <w:sz w:val="24"/>
          <w:szCs w:val="24"/>
          <w:u w:val="none"/>
          <w:rtl/>
        </w:rPr>
        <w:t xml:space="preserve">הגיש תביעה בעניין </w:t>
      </w:r>
      <w:r w:rsidR="007926FD">
        <w:rPr>
          <w:rFonts w:ascii="Arial" w:hAnsi="Arial" w:cs="David" w:hint="cs"/>
          <w:sz w:val="24"/>
          <w:szCs w:val="24"/>
          <w:u w:val="none"/>
          <w:rtl/>
        </w:rPr>
        <w:t>הקטינה</w:t>
      </w:r>
      <w:r>
        <w:rPr>
          <w:rFonts w:ascii="Arial" w:hAnsi="Arial" w:cs="David"/>
          <w:sz w:val="24"/>
          <w:szCs w:val="24"/>
          <w:u w:val="none"/>
          <w:rtl/>
        </w:rPr>
        <w:t xml:space="preserve">, אנחנו צירפנו </w:t>
      </w:r>
      <w:bookmarkStart w:id="57" w:name="_ETM_Q_3378280"/>
      <w:bookmarkEnd w:id="57"/>
      <w:r>
        <w:rPr>
          <w:rFonts w:ascii="Arial" w:hAnsi="Arial" w:cs="David"/>
          <w:sz w:val="24"/>
          <w:szCs w:val="24"/>
          <w:u w:val="none"/>
          <w:rtl/>
        </w:rPr>
        <w:t xml:space="preserve">את העתק כתב התביעה בנספח 3 לכתב ההגנה של </w:t>
      </w:r>
      <w:bookmarkStart w:id="58" w:name="_ETM_Q_3380096"/>
      <w:bookmarkEnd w:id="58"/>
      <w:r w:rsidR="007926FD">
        <w:rPr>
          <w:rFonts w:ascii="Arial" w:hAnsi="Arial" w:cs="David" w:hint="cs"/>
          <w:sz w:val="24"/>
          <w:szCs w:val="24"/>
          <w:u w:val="none"/>
          <w:rtl/>
        </w:rPr>
        <w:t>האב</w:t>
      </w:r>
      <w:r>
        <w:rPr>
          <w:rFonts w:ascii="Arial" w:hAnsi="Arial" w:cs="David"/>
          <w:sz w:val="24"/>
          <w:szCs w:val="24"/>
          <w:u w:val="none"/>
          <w:rtl/>
        </w:rPr>
        <w:t>.</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r>
        <w:rPr>
          <w:rFonts w:ascii="Arial" w:hAnsi="Arial" w:cs="David"/>
          <w:sz w:val="24"/>
          <w:szCs w:val="24"/>
          <w:u w:val="none"/>
          <w:rtl/>
        </w:rPr>
        <w:t>[..]</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bookmarkStart w:id="59" w:name="_ETM_Q_3407530"/>
      <w:bookmarkEnd w:id="59"/>
      <w:r>
        <w:rPr>
          <w:rFonts w:ascii="Arial" w:hAnsi="Arial" w:cs="David"/>
          <w:sz w:val="24"/>
          <w:szCs w:val="24"/>
          <w:u w:val="none"/>
          <w:rtl/>
        </w:rPr>
        <w:t xml:space="preserve">עו"ד מר: אז </w:t>
      </w:r>
      <w:r>
        <w:rPr>
          <w:rFonts w:ascii="Arial" w:hAnsi="Arial" w:cs="David"/>
          <w:sz w:val="24"/>
          <w:szCs w:val="24"/>
          <w:rtl/>
        </w:rPr>
        <w:t xml:space="preserve">באותו </w:t>
      </w:r>
      <w:bookmarkStart w:id="60" w:name="_ETM_Q_3410089"/>
      <w:bookmarkEnd w:id="60"/>
      <w:r>
        <w:rPr>
          <w:rFonts w:ascii="Arial" w:hAnsi="Arial" w:cs="David"/>
          <w:sz w:val="24"/>
          <w:szCs w:val="24"/>
          <w:rtl/>
        </w:rPr>
        <w:t xml:space="preserve">נספח 3 מצורף גם כתב ההגנה שאת הגשת באותו תיק </w:t>
      </w:r>
      <w:bookmarkStart w:id="61" w:name="_ETM_Q_3417229"/>
      <w:bookmarkEnd w:id="61"/>
      <w:r>
        <w:rPr>
          <w:rFonts w:ascii="Arial" w:hAnsi="Arial" w:cs="David"/>
          <w:sz w:val="24"/>
          <w:szCs w:val="24"/>
          <w:rtl/>
        </w:rPr>
        <w:t>ושם בסעיף 14 ד' את בעצם מבקשת מבית המשפט</w:t>
      </w:r>
      <w:r>
        <w:rPr>
          <w:rFonts w:ascii="Arial" w:hAnsi="Arial" w:cs="David"/>
          <w:sz w:val="24"/>
          <w:szCs w:val="24"/>
          <w:u w:val="none"/>
          <w:rtl/>
        </w:rPr>
        <w:t>,</w:t>
      </w:r>
      <w:bookmarkStart w:id="62" w:name="_ETM_Q_3419936"/>
      <w:bookmarkEnd w:id="62"/>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r>
        <w:rPr>
          <w:rFonts w:ascii="Arial" w:hAnsi="Arial" w:cs="David"/>
          <w:sz w:val="24"/>
          <w:szCs w:val="24"/>
          <w:u w:val="none"/>
          <w:rtl/>
        </w:rPr>
        <w:t>[..]</w:t>
      </w:r>
    </w:p>
    <w:p w:rsidR="00501CE0" w:rsidRDefault="00501CE0" w:rsidP="00B323BB">
      <w:pPr>
        <w:pStyle w:val="ad"/>
        <w:shd w:val="clear" w:color="auto" w:fill="auto"/>
        <w:tabs>
          <w:tab w:val="left" w:pos="273"/>
        </w:tabs>
        <w:spacing w:line="360" w:lineRule="auto"/>
        <w:ind w:left="567" w:firstLine="0"/>
        <w:jc w:val="both"/>
        <w:rPr>
          <w:rFonts w:ascii="Arial" w:hAnsi="Arial" w:cs="David"/>
          <w:sz w:val="24"/>
          <w:szCs w:val="24"/>
          <w:u w:val="none"/>
          <w:rtl/>
        </w:rPr>
      </w:pPr>
      <w:bookmarkStart w:id="63" w:name="_ETM_Q_3423646"/>
      <w:bookmarkEnd w:id="63"/>
      <w:r>
        <w:rPr>
          <w:rFonts w:ascii="Arial" w:hAnsi="Arial" w:cs="David"/>
          <w:sz w:val="24"/>
          <w:szCs w:val="24"/>
          <w:u w:val="none"/>
          <w:rtl/>
        </w:rPr>
        <w:t xml:space="preserve">עו"ד מר: </w:t>
      </w:r>
      <w:r>
        <w:rPr>
          <w:rFonts w:ascii="Arial" w:hAnsi="Arial" w:cs="David"/>
          <w:sz w:val="24"/>
          <w:szCs w:val="24"/>
          <w:rtl/>
        </w:rPr>
        <w:t xml:space="preserve">לצמצם את זמני השהות של </w:t>
      </w:r>
      <w:r w:rsidR="004A67A1">
        <w:rPr>
          <w:rFonts w:ascii="Arial" w:hAnsi="Arial" w:cs="David" w:hint="cs"/>
          <w:sz w:val="24"/>
          <w:szCs w:val="24"/>
          <w:rtl/>
        </w:rPr>
        <w:t>הקטינה עם האב</w:t>
      </w:r>
      <w:r>
        <w:rPr>
          <w:rFonts w:ascii="Arial" w:hAnsi="Arial" w:cs="David"/>
          <w:sz w:val="24"/>
          <w:szCs w:val="24"/>
          <w:u w:val="none"/>
          <w:rtl/>
        </w:rPr>
        <w:t>.</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bookmarkStart w:id="64" w:name="_ETM_Q_3428207"/>
      <w:bookmarkStart w:id="65" w:name="_ETM_Q_3444240"/>
      <w:bookmarkEnd w:id="64"/>
      <w:bookmarkEnd w:id="65"/>
      <w:r>
        <w:rPr>
          <w:rFonts w:ascii="Arial" w:hAnsi="Arial" w:cs="David"/>
          <w:sz w:val="24"/>
          <w:szCs w:val="24"/>
          <w:u w:val="none"/>
          <w:rtl/>
        </w:rPr>
        <w:t xml:space="preserve"> [..]</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bookmarkStart w:id="66" w:name="_ETM_Q_3441502"/>
      <w:bookmarkEnd w:id="66"/>
      <w:r>
        <w:rPr>
          <w:rFonts w:ascii="Arial" w:hAnsi="Arial" w:cs="David"/>
          <w:sz w:val="24"/>
          <w:szCs w:val="24"/>
          <w:u w:val="none"/>
          <w:rtl/>
        </w:rPr>
        <w:t xml:space="preserve">עו"ד מר: לא, את כתב ההגנה, כתב ההגנה הוגש </w:t>
      </w:r>
      <w:bookmarkStart w:id="67" w:name="_ETM_Q_3449508"/>
      <w:bookmarkEnd w:id="67"/>
      <w:r>
        <w:rPr>
          <w:rFonts w:ascii="Arial" w:hAnsi="Arial" w:cs="David"/>
          <w:sz w:val="24"/>
          <w:szCs w:val="24"/>
          <w:u w:val="none"/>
          <w:rtl/>
        </w:rPr>
        <w:t>באיחור מאוד גדול, הוא הוגש ב- 2015, כן.</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bookmarkStart w:id="68" w:name="_ETM_Q_3446302"/>
      <w:bookmarkEnd w:id="68"/>
      <w:r>
        <w:rPr>
          <w:rFonts w:ascii="Arial" w:hAnsi="Arial" w:cs="David"/>
          <w:sz w:val="24"/>
          <w:szCs w:val="24"/>
          <w:u w:val="none"/>
          <w:rtl/>
        </w:rPr>
        <w:t>[..]</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bookmarkStart w:id="69" w:name="_ETM_Q_3452002"/>
      <w:bookmarkEnd w:id="69"/>
      <w:r>
        <w:rPr>
          <w:rFonts w:ascii="Arial" w:hAnsi="Arial" w:cs="David"/>
          <w:sz w:val="24"/>
          <w:szCs w:val="24"/>
          <w:u w:val="none"/>
          <w:rtl/>
        </w:rPr>
        <w:t xml:space="preserve">עו"ד מר: את רואה את סעיף 14 ד' </w:t>
      </w:r>
      <w:bookmarkStart w:id="70" w:name="_ETM_Q_3459942"/>
      <w:bookmarkEnd w:id="70"/>
      <w:r>
        <w:rPr>
          <w:rFonts w:ascii="Arial" w:hAnsi="Arial" w:cs="David"/>
          <w:sz w:val="24"/>
          <w:szCs w:val="24"/>
          <w:u w:val="none"/>
          <w:rtl/>
        </w:rPr>
        <w:t>שאת מבקשת לצמצם?</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bookmarkStart w:id="71" w:name="_ETM_Q_3462502"/>
      <w:bookmarkEnd w:id="71"/>
      <w:r>
        <w:rPr>
          <w:rFonts w:ascii="Arial" w:hAnsi="Arial" w:cs="David"/>
          <w:sz w:val="24"/>
          <w:szCs w:val="24"/>
          <w:u w:val="none"/>
          <w:rtl/>
        </w:rPr>
        <w:t>[..]</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bookmarkStart w:id="72" w:name="_ETM_Q_3478847"/>
      <w:bookmarkEnd w:id="72"/>
      <w:r>
        <w:rPr>
          <w:rFonts w:ascii="Arial" w:hAnsi="Arial" w:cs="David"/>
          <w:sz w:val="24"/>
          <w:szCs w:val="24"/>
          <w:u w:val="none"/>
          <w:rtl/>
        </w:rPr>
        <w:lastRenderedPageBreak/>
        <w:t xml:space="preserve">ש: בהמשך של אותו נספח, נספח 3 </w:t>
      </w:r>
      <w:bookmarkStart w:id="73" w:name="_ETM_Q_3484539"/>
      <w:bookmarkEnd w:id="73"/>
      <w:r>
        <w:rPr>
          <w:rFonts w:ascii="Arial" w:hAnsi="Arial" w:cs="David"/>
          <w:sz w:val="24"/>
          <w:szCs w:val="24"/>
          <w:u w:val="none"/>
          <w:rtl/>
        </w:rPr>
        <w:t xml:space="preserve">לכתב ההגנה יש גם תצהיר מיום 1 לינואר 15 ואני </w:t>
      </w:r>
      <w:bookmarkStart w:id="74" w:name="_ETM_Q_3491333"/>
      <w:bookmarkEnd w:id="74"/>
      <w:r>
        <w:rPr>
          <w:rFonts w:ascii="Arial" w:hAnsi="Arial" w:cs="David"/>
          <w:sz w:val="24"/>
          <w:szCs w:val="24"/>
          <w:u w:val="none"/>
          <w:rtl/>
        </w:rPr>
        <w:t xml:space="preserve">מפנה אותך לסעיף 6 בתצהיר הזה שלך שאת כותבת </w:t>
      </w:r>
      <w:bookmarkStart w:id="75" w:name="_ETM_Q_3496193"/>
      <w:bookmarkEnd w:id="75"/>
      <w:r>
        <w:rPr>
          <w:rFonts w:ascii="Arial" w:hAnsi="Arial" w:cs="David"/>
          <w:sz w:val="24"/>
          <w:szCs w:val="24"/>
          <w:u w:val="none"/>
          <w:rtl/>
        </w:rPr>
        <w:t>ומדגישה שם, מעולם לא ה,</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bookmarkStart w:id="76" w:name="_ETM_Q_3494357"/>
      <w:bookmarkStart w:id="77" w:name="_ETM_Q_3504342"/>
      <w:bookmarkEnd w:id="76"/>
      <w:bookmarkEnd w:id="77"/>
      <w:r>
        <w:rPr>
          <w:rFonts w:ascii="Arial" w:hAnsi="Arial" w:cs="David"/>
          <w:sz w:val="24"/>
          <w:szCs w:val="24"/>
          <w:u w:val="none"/>
          <w:rtl/>
        </w:rPr>
        <w:t>[..]</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r>
        <w:rPr>
          <w:rFonts w:ascii="Arial" w:hAnsi="Arial" w:cs="David"/>
          <w:sz w:val="24"/>
          <w:szCs w:val="24"/>
          <w:u w:val="none"/>
          <w:rtl/>
        </w:rPr>
        <w:t>ש: תקריאי בבקשה את שני המשפטים האלה.</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bookmarkStart w:id="78" w:name="_ETM_Q_3508884"/>
      <w:bookmarkEnd w:id="78"/>
      <w:r>
        <w:rPr>
          <w:rFonts w:ascii="Arial" w:hAnsi="Arial" w:cs="David"/>
          <w:sz w:val="24"/>
          <w:szCs w:val="24"/>
          <w:u w:val="none"/>
          <w:rtl/>
        </w:rPr>
        <w:t xml:space="preserve">ת: אני אקריא </w:t>
      </w:r>
      <w:bookmarkStart w:id="79" w:name="_ETM_Q_3510704"/>
      <w:bookmarkEnd w:id="79"/>
      <w:r>
        <w:rPr>
          <w:rFonts w:ascii="Arial" w:hAnsi="Arial" w:cs="David"/>
          <w:sz w:val="24"/>
          <w:szCs w:val="24"/>
          <w:u w:val="none"/>
          <w:rtl/>
        </w:rPr>
        <w:t>את כל הסעיף אולי?</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rtl/>
        </w:rPr>
      </w:pPr>
      <w:bookmarkStart w:id="80" w:name="_ETM_Q_3512429"/>
      <w:bookmarkEnd w:id="80"/>
      <w:r>
        <w:rPr>
          <w:rFonts w:ascii="Arial" w:hAnsi="Arial" w:cs="David"/>
          <w:sz w:val="24"/>
          <w:szCs w:val="24"/>
          <w:u w:val="none"/>
          <w:rtl/>
        </w:rPr>
        <w:t xml:space="preserve">ש: </w:t>
      </w:r>
      <w:r>
        <w:rPr>
          <w:rFonts w:ascii="Arial" w:hAnsi="Arial" w:cs="David"/>
          <w:sz w:val="24"/>
          <w:szCs w:val="24"/>
          <w:rtl/>
        </w:rPr>
        <w:t xml:space="preserve">כתוב פה, כתוב פה מעולם לא הוסכם </w:t>
      </w:r>
      <w:bookmarkStart w:id="81" w:name="_ETM_Q_3511636"/>
      <w:bookmarkEnd w:id="81"/>
      <w:r>
        <w:rPr>
          <w:rFonts w:ascii="Arial" w:hAnsi="Arial" w:cs="David"/>
          <w:sz w:val="24"/>
          <w:szCs w:val="24"/>
          <w:rtl/>
        </w:rPr>
        <w:t xml:space="preserve">על הצדדים כי הסדרי הראיה יורחבו ללינה ביום שני. את </w:t>
      </w:r>
      <w:bookmarkStart w:id="82" w:name="_ETM_Q_3515436"/>
      <w:bookmarkEnd w:id="82"/>
      <w:r>
        <w:rPr>
          <w:rFonts w:ascii="Arial" w:hAnsi="Arial" w:cs="David"/>
          <w:sz w:val="24"/>
          <w:szCs w:val="24"/>
          <w:rtl/>
        </w:rPr>
        <w:t>רואה שזה כתוב?</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bookmarkStart w:id="83" w:name="_ETM_Q_3517161"/>
      <w:bookmarkEnd w:id="83"/>
      <w:r>
        <w:rPr>
          <w:rFonts w:ascii="Arial" w:hAnsi="Arial" w:cs="David"/>
          <w:sz w:val="24"/>
          <w:szCs w:val="24"/>
          <w:u w:val="none"/>
          <w:rtl/>
        </w:rPr>
        <w:t xml:space="preserve">ת: </w:t>
      </w:r>
      <w:r>
        <w:rPr>
          <w:rFonts w:ascii="Arial" w:hAnsi="Arial" w:cs="David"/>
          <w:sz w:val="24"/>
          <w:szCs w:val="24"/>
          <w:rtl/>
        </w:rPr>
        <w:t>כן</w:t>
      </w:r>
      <w:r>
        <w:rPr>
          <w:rFonts w:ascii="Arial" w:hAnsi="Arial" w:cs="David"/>
          <w:sz w:val="24"/>
          <w:szCs w:val="24"/>
          <w:u w:val="none"/>
          <w:rtl/>
        </w:rPr>
        <w:t>.</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rtl/>
        </w:rPr>
      </w:pPr>
      <w:bookmarkStart w:id="84" w:name="_ETM_Q_3518311"/>
      <w:bookmarkEnd w:id="84"/>
      <w:r>
        <w:rPr>
          <w:rFonts w:ascii="Arial" w:hAnsi="Arial" w:cs="David"/>
          <w:sz w:val="24"/>
          <w:szCs w:val="24"/>
          <w:u w:val="none"/>
          <w:rtl/>
        </w:rPr>
        <w:t xml:space="preserve">ש: </w:t>
      </w:r>
      <w:r>
        <w:rPr>
          <w:rFonts w:ascii="Arial" w:hAnsi="Arial" w:cs="David"/>
          <w:sz w:val="24"/>
          <w:szCs w:val="24"/>
          <w:rtl/>
        </w:rPr>
        <w:t xml:space="preserve">כתוב מעולם האם לא הסכימה לכך. זה תצהיר </w:t>
      </w:r>
      <w:bookmarkStart w:id="85" w:name="_ETM_Q_3522857"/>
      <w:bookmarkEnd w:id="85"/>
      <w:r>
        <w:rPr>
          <w:rFonts w:ascii="Arial" w:hAnsi="Arial" w:cs="David"/>
          <w:sz w:val="24"/>
          <w:szCs w:val="24"/>
          <w:rtl/>
        </w:rPr>
        <w:t>שאת כתבת, שאת חתמת עליו.</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bookmarkStart w:id="86" w:name="_ETM_Q_3523006"/>
      <w:bookmarkEnd w:id="86"/>
      <w:r>
        <w:rPr>
          <w:rFonts w:ascii="Arial" w:hAnsi="Arial" w:cs="David"/>
          <w:sz w:val="24"/>
          <w:szCs w:val="24"/>
          <w:u w:val="none"/>
          <w:rtl/>
        </w:rPr>
        <w:t xml:space="preserve">ת: </w:t>
      </w:r>
      <w:r>
        <w:rPr>
          <w:rFonts w:ascii="Arial" w:hAnsi="Arial" w:cs="David"/>
          <w:sz w:val="24"/>
          <w:szCs w:val="24"/>
          <w:rtl/>
        </w:rPr>
        <w:t>כן, ב- 2015.</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rtl/>
        </w:rPr>
      </w:pPr>
      <w:bookmarkStart w:id="87" w:name="_ETM_Q_3524993"/>
      <w:bookmarkEnd w:id="87"/>
      <w:r>
        <w:rPr>
          <w:rFonts w:ascii="Arial" w:hAnsi="Arial" w:cs="David"/>
          <w:sz w:val="24"/>
          <w:szCs w:val="24"/>
          <w:u w:val="none"/>
          <w:rtl/>
        </w:rPr>
        <w:t xml:space="preserve">ש: </w:t>
      </w:r>
      <w:r>
        <w:rPr>
          <w:rFonts w:ascii="Arial" w:hAnsi="Arial" w:cs="David"/>
          <w:sz w:val="24"/>
          <w:szCs w:val="24"/>
          <w:rtl/>
        </w:rPr>
        <w:t>אז איך את יכולה</w:t>
      </w:r>
      <w:bookmarkStart w:id="88" w:name="_ETM_Q_3527235"/>
      <w:bookmarkEnd w:id="88"/>
      <w:r>
        <w:rPr>
          <w:rFonts w:ascii="Arial" w:hAnsi="Arial" w:cs="David"/>
          <w:sz w:val="24"/>
          <w:szCs w:val="24"/>
          <w:rtl/>
        </w:rPr>
        <w:t xml:space="preserve"> להגיד שב- 2014 כשנחתם ההסכם ב, ב- </w:t>
      </w:r>
      <w:bookmarkStart w:id="89" w:name="_ETM_Q_3533286"/>
      <w:bookmarkEnd w:id="89"/>
      <w:r>
        <w:rPr>
          <w:rFonts w:ascii="Arial" w:hAnsi="Arial" w:cs="David"/>
          <w:sz w:val="24"/>
          <w:szCs w:val="24"/>
          <w:rtl/>
        </w:rPr>
        <w:t>1 ליוני 2014 היה צפוי מראש שזמני השהות יורחבו?</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bookmarkStart w:id="90" w:name="_ETM_Q_3535424"/>
      <w:bookmarkEnd w:id="90"/>
      <w:r>
        <w:rPr>
          <w:rFonts w:ascii="Arial" w:hAnsi="Arial" w:cs="David"/>
          <w:sz w:val="24"/>
          <w:szCs w:val="24"/>
          <w:u w:val="none"/>
          <w:rtl/>
        </w:rPr>
        <w:t xml:space="preserve">ת: </w:t>
      </w:r>
      <w:r>
        <w:rPr>
          <w:rFonts w:ascii="Arial" w:hAnsi="Arial" w:cs="David"/>
          <w:sz w:val="24"/>
          <w:szCs w:val="24"/>
          <w:rtl/>
        </w:rPr>
        <w:t xml:space="preserve">זה </w:t>
      </w:r>
      <w:bookmarkStart w:id="91" w:name="_ETM_Q_3535942"/>
      <w:bookmarkEnd w:id="91"/>
      <w:r>
        <w:rPr>
          <w:rFonts w:ascii="Arial" w:hAnsi="Arial" w:cs="David"/>
          <w:sz w:val="24"/>
          <w:szCs w:val="24"/>
          <w:rtl/>
        </w:rPr>
        <w:t xml:space="preserve">מה שכתוב בפרוטוקול של יוני 2014 שחור על גבי </w:t>
      </w:r>
      <w:bookmarkStart w:id="92" w:name="_ETM_Q_3543361"/>
      <w:bookmarkEnd w:id="92"/>
      <w:r>
        <w:rPr>
          <w:rFonts w:ascii="Arial" w:hAnsi="Arial" w:cs="David"/>
          <w:sz w:val="24"/>
          <w:szCs w:val="24"/>
          <w:rtl/>
        </w:rPr>
        <w:t>לבן כמה פעמים</w:t>
      </w:r>
      <w:r>
        <w:rPr>
          <w:rFonts w:ascii="Arial" w:hAnsi="Arial" w:cs="David"/>
          <w:sz w:val="24"/>
          <w:szCs w:val="24"/>
          <w:u w:val="none"/>
          <w:rtl/>
        </w:rPr>
        <w:t>.</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bookmarkStart w:id="93" w:name="_ETM_Q_3541157"/>
      <w:bookmarkEnd w:id="93"/>
      <w:r>
        <w:rPr>
          <w:rFonts w:ascii="Arial" w:hAnsi="Arial" w:cs="David"/>
          <w:sz w:val="24"/>
          <w:szCs w:val="24"/>
          <w:u w:val="none"/>
          <w:rtl/>
        </w:rPr>
        <w:t xml:space="preserve">ש: ופה את כותבת חד משמעית שזה לא הוסכם </w:t>
      </w:r>
      <w:bookmarkStart w:id="94" w:name="_ETM_Q_3546538"/>
      <w:bookmarkEnd w:id="94"/>
      <w:r>
        <w:rPr>
          <w:rFonts w:ascii="Arial" w:hAnsi="Arial" w:cs="David"/>
          <w:sz w:val="24"/>
          <w:szCs w:val="24"/>
          <w:u w:val="none"/>
          <w:rtl/>
        </w:rPr>
        <w:t xml:space="preserve">שההסדרים יורחבו למה ש, למה שקיים היום, חד משמעית את </w:t>
      </w:r>
      <w:bookmarkStart w:id="95" w:name="_ETM_Q_3548355"/>
      <w:bookmarkEnd w:id="95"/>
      <w:r>
        <w:rPr>
          <w:rFonts w:ascii="Arial" w:hAnsi="Arial" w:cs="David"/>
          <w:sz w:val="24"/>
          <w:szCs w:val="24"/>
          <w:u w:val="none"/>
          <w:rtl/>
        </w:rPr>
        <w:t>כותבת פה, את מסרבת, את לא מסכימה,</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bookmarkStart w:id="96" w:name="_ETM_Q_3552640"/>
      <w:bookmarkEnd w:id="96"/>
      <w:r>
        <w:rPr>
          <w:rFonts w:ascii="Arial" w:hAnsi="Arial" w:cs="David"/>
          <w:sz w:val="24"/>
          <w:szCs w:val="24"/>
          <w:u w:val="none"/>
          <w:rtl/>
        </w:rPr>
        <w:t xml:space="preserve">ת: היה, כי היה, בקשר </w:t>
      </w:r>
      <w:bookmarkStart w:id="97" w:name="_ETM_Q_3554626"/>
      <w:bookmarkEnd w:id="97"/>
      <w:r>
        <w:rPr>
          <w:rFonts w:ascii="Arial" w:hAnsi="Arial" w:cs="David"/>
          <w:sz w:val="24"/>
          <w:szCs w:val="24"/>
          <w:u w:val="none"/>
          <w:rtl/>
        </w:rPr>
        <w:t>להרחבה ללינה בימי שני או חמישי היה בפסק הדין</w:t>
      </w:r>
      <w:bookmarkStart w:id="98" w:name="_ETM_Q_3557777"/>
      <w:bookmarkEnd w:id="98"/>
      <w:r>
        <w:rPr>
          <w:rFonts w:ascii="Arial" w:hAnsi="Arial" w:cs="David"/>
          <w:sz w:val="24"/>
          <w:szCs w:val="24"/>
          <w:u w:val="none"/>
          <w:rtl/>
        </w:rPr>
        <w:t>,  בפרוטוקול של השופטת איריס ארבל ב, ב-</w:t>
      </w:r>
      <w:bookmarkStart w:id="99" w:name="_ETM_Q_3561263"/>
      <w:bookmarkEnd w:id="99"/>
      <w:r>
        <w:rPr>
          <w:rFonts w:ascii="Arial" w:hAnsi="Arial" w:cs="David"/>
          <w:sz w:val="24"/>
          <w:szCs w:val="24"/>
          <w:u w:val="none"/>
          <w:rtl/>
        </w:rPr>
        <w:t xml:space="preserve"> 2014 שזה יהיה בהסכמת האם,</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bookmarkStart w:id="100" w:name="_ETM_Q_3559685"/>
      <w:bookmarkEnd w:id="100"/>
      <w:r>
        <w:rPr>
          <w:rFonts w:ascii="Arial" w:hAnsi="Arial" w:cs="David"/>
          <w:sz w:val="24"/>
          <w:szCs w:val="24"/>
          <w:u w:val="none"/>
          <w:rtl/>
        </w:rPr>
        <w:t>ש: ואת לא הסכמת.</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bookmarkStart w:id="101" w:name="_ETM_Q_3561409"/>
      <w:bookmarkEnd w:id="101"/>
      <w:r>
        <w:rPr>
          <w:rFonts w:ascii="Arial" w:hAnsi="Arial" w:cs="David"/>
          <w:sz w:val="24"/>
          <w:szCs w:val="24"/>
          <w:u w:val="none"/>
          <w:rtl/>
        </w:rPr>
        <w:t>ת: אז כן, נכון.</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bookmarkStart w:id="102" w:name="_ETM_Q_3563709"/>
      <w:bookmarkEnd w:id="102"/>
      <w:r>
        <w:rPr>
          <w:rFonts w:ascii="Arial" w:hAnsi="Arial" w:cs="David"/>
          <w:sz w:val="24"/>
          <w:szCs w:val="24"/>
          <w:u w:val="none"/>
          <w:rtl/>
        </w:rPr>
        <w:t xml:space="preserve">ש: ואת לא </w:t>
      </w:r>
      <w:bookmarkStart w:id="103" w:name="_ETM_Q_3565693"/>
      <w:bookmarkEnd w:id="103"/>
      <w:r>
        <w:rPr>
          <w:rFonts w:ascii="Arial" w:hAnsi="Arial" w:cs="David"/>
          <w:sz w:val="24"/>
          <w:szCs w:val="24"/>
          <w:u w:val="none"/>
          <w:rtl/>
        </w:rPr>
        <w:t>הסכמת.</w:t>
      </w:r>
      <w:bookmarkStart w:id="104" w:name="_ETM_Q_3566270"/>
      <w:bookmarkEnd w:id="104"/>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r>
        <w:rPr>
          <w:rFonts w:ascii="Arial" w:hAnsi="Arial" w:cs="David"/>
          <w:sz w:val="24"/>
          <w:szCs w:val="24"/>
          <w:u w:val="none"/>
          <w:rtl/>
        </w:rPr>
        <w:t>ת: נכון. בהתחלה,</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bookmarkStart w:id="105" w:name="_ETM_Q_3563754"/>
      <w:bookmarkEnd w:id="105"/>
      <w:r>
        <w:rPr>
          <w:rFonts w:ascii="Arial" w:hAnsi="Arial" w:cs="David"/>
          <w:sz w:val="24"/>
          <w:szCs w:val="24"/>
          <w:u w:val="none"/>
          <w:rtl/>
        </w:rPr>
        <w:t>ש: ובמשך 5 שנים היה מאבק,</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bookmarkStart w:id="106" w:name="_ETM_Q_3565254"/>
      <w:bookmarkEnd w:id="106"/>
      <w:r>
        <w:rPr>
          <w:rFonts w:ascii="Arial" w:hAnsi="Arial" w:cs="David"/>
          <w:sz w:val="24"/>
          <w:szCs w:val="24"/>
          <w:u w:val="none"/>
          <w:rtl/>
        </w:rPr>
        <w:t>ת: לא נכון,</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bookmarkStart w:id="107" w:name="_ETM_Q_3566718"/>
      <w:bookmarkEnd w:id="107"/>
      <w:r>
        <w:rPr>
          <w:rFonts w:ascii="Arial" w:hAnsi="Arial" w:cs="David"/>
          <w:sz w:val="24"/>
          <w:szCs w:val="24"/>
          <w:u w:val="none"/>
          <w:rtl/>
        </w:rPr>
        <w:t xml:space="preserve">ש: של משמורת עד שבסופו </w:t>
      </w:r>
      <w:bookmarkStart w:id="108" w:name="_ETM_Q_3571838"/>
      <w:bookmarkEnd w:id="108"/>
      <w:r>
        <w:rPr>
          <w:rFonts w:ascii="Arial" w:hAnsi="Arial" w:cs="David"/>
          <w:sz w:val="24"/>
          <w:szCs w:val="24"/>
          <w:u w:val="none"/>
          <w:rtl/>
        </w:rPr>
        <w:t>של דבר זמני השהות שלב אחרי שלב,</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bookmarkStart w:id="109" w:name="_ETM_Q_3573030"/>
      <w:bookmarkEnd w:id="109"/>
      <w:r>
        <w:rPr>
          <w:rFonts w:ascii="Arial" w:hAnsi="Arial" w:cs="David"/>
          <w:sz w:val="24"/>
          <w:szCs w:val="24"/>
          <w:u w:val="none"/>
          <w:rtl/>
        </w:rPr>
        <w:t xml:space="preserve">ת: עד שהוגשה תביעת </w:t>
      </w:r>
      <w:bookmarkStart w:id="110" w:name="_ETM_Q_3575588"/>
      <w:bookmarkEnd w:id="110"/>
      <w:r>
        <w:rPr>
          <w:rFonts w:ascii="Arial" w:hAnsi="Arial" w:cs="David"/>
          <w:sz w:val="24"/>
          <w:szCs w:val="24"/>
          <w:u w:val="none"/>
          <w:rtl/>
        </w:rPr>
        <w:t>משמורת אב מלאה,</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bookmarkStart w:id="111" w:name="_ETM_Q_3572811"/>
      <w:bookmarkEnd w:id="111"/>
      <w:r>
        <w:rPr>
          <w:rFonts w:ascii="Arial" w:hAnsi="Arial" w:cs="David"/>
          <w:sz w:val="24"/>
          <w:szCs w:val="24"/>
          <w:u w:val="none"/>
          <w:rtl/>
        </w:rPr>
        <w:t xml:space="preserve">ש: שלב אחרי שלב לאט לאט הורחבו הזמנים, עוד </w:t>
      </w:r>
      <w:bookmarkStart w:id="112" w:name="_ETM_Q_3576094"/>
      <w:bookmarkEnd w:id="112"/>
      <w:r>
        <w:rPr>
          <w:rFonts w:ascii="Arial" w:hAnsi="Arial" w:cs="David"/>
          <w:sz w:val="24"/>
          <w:szCs w:val="24"/>
          <w:u w:val="none"/>
          <w:rtl/>
        </w:rPr>
        <w:t>לינה,</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bookmarkStart w:id="113" w:name="_ETM_Q_3576979"/>
      <w:bookmarkStart w:id="114" w:name="_ETM_Q_3579993"/>
      <w:bookmarkEnd w:id="113"/>
      <w:bookmarkEnd w:id="114"/>
      <w:r>
        <w:rPr>
          <w:rFonts w:ascii="Arial" w:hAnsi="Arial" w:cs="David"/>
          <w:sz w:val="24"/>
          <w:szCs w:val="24"/>
          <w:u w:val="none"/>
          <w:rtl/>
        </w:rPr>
        <w:t>[...]</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bookmarkStart w:id="115" w:name="_ETM_Q_3585725"/>
      <w:bookmarkStart w:id="116" w:name="_ETM_Q_3585821"/>
      <w:bookmarkEnd w:id="115"/>
      <w:bookmarkEnd w:id="116"/>
      <w:r>
        <w:rPr>
          <w:rFonts w:ascii="Arial" w:hAnsi="Arial" w:cs="David"/>
          <w:sz w:val="24"/>
          <w:szCs w:val="24"/>
          <w:u w:val="none"/>
          <w:rtl/>
        </w:rPr>
        <w:t xml:space="preserve">עו"ד מר: אני אומרת לך, במשך 5 שנים התנהלו תיקים </w:t>
      </w:r>
      <w:bookmarkStart w:id="117" w:name="_ETM_Q_3592923"/>
      <w:bookmarkEnd w:id="117"/>
      <w:r>
        <w:rPr>
          <w:rFonts w:ascii="Arial" w:hAnsi="Arial" w:cs="David"/>
          <w:sz w:val="24"/>
          <w:szCs w:val="24"/>
          <w:u w:val="none"/>
          <w:rtl/>
        </w:rPr>
        <w:t>בבית המשפט עד שבסופו של דבר, נקבעה משמורת משותפת</w:t>
      </w:r>
      <w:bookmarkStart w:id="118" w:name="_ETM_Q_3594225"/>
      <w:bookmarkEnd w:id="118"/>
      <w:r>
        <w:rPr>
          <w:rFonts w:ascii="Arial" w:hAnsi="Arial" w:cs="David"/>
          <w:sz w:val="24"/>
          <w:szCs w:val="24"/>
          <w:u w:val="none"/>
          <w:rtl/>
        </w:rPr>
        <w:t>,</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bookmarkStart w:id="119" w:name="_ETM_Q_3594843"/>
      <w:bookmarkEnd w:id="119"/>
      <w:r>
        <w:rPr>
          <w:rFonts w:ascii="Arial" w:hAnsi="Arial" w:cs="David"/>
          <w:sz w:val="24"/>
          <w:szCs w:val="24"/>
          <w:u w:val="none"/>
          <w:rtl/>
        </w:rPr>
        <w:t>העדה גב' רוזנטל: בהסכמת,</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bookmarkStart w:id="120" w:name="_ETM_Q_3597087"/>
      <w:bookmarkEnd w:id="120"/>
      <w:r>
        <w:rPr>
          <w:rFonts w:ascii="Arial" w:hAnsi="Arial" w:cs="David"/>
          <w:sz w:val="24"/>
          <w:szCs w:val="24"/>
          <w:u w:val="none"/>
          <w:rtl/>
        </w:rPr>
        <w:t>ש: וחלוקת זמני שהות שווים.</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bookmarkStart w:id="121" w:name="_ETM_Q_3599739"/>
      <w:bookmarkEnd w:id="121"/>
      <w:r>
        <w:rPr>
          <w:rFonts w:ascii="Arial" w:hAnsi="Arial" w:cs="David"/>
          <w:sz w:val="24"/>
          <w:szCs w:val="24"/>
          <w:u w:val="none"/>
          <w:rtl/>
        </w:rPr>
        <w:t>ת: בהסכמתי אחרי שהוגשה משמורת, תביעה למשמורת,</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bookmarkStart w:id="122" w:name="_ETM_Q_3600148"/>
      <w:bookmarkEnd w:id="122"/>
      <w:r>
        <w:rPr>
          <w:rFonts w:ascii="Arial" w:hAnsi="Arial" w:cs="David"/>
          <w:sz w:val="24"/>
          <w:szCs w:val="24"/>
          <w:u w:val="none"/>
          <w:rtl/>
        </w:rPr>
        <w:t>ש: בהסכמתך אחרי</w:t>
      </w:r>
      <w:bookmarkStart w:id="123" w:name="_ETM_Q_3597687"/>
      <w:bookmarkEnd w:id="123"/>
      <w:r>
        <w:rPr>
          <w:rFonts w:ascii="Arial" w:hAnsi="Arial" w:cs="David"/>
          <w:sz w:val="24"/>
          <w:szCs w:val="24"/>
          <w:u w:val="none"/>
          <w:rtl/>
        </w:rPr>
        <w:t xml:space="preserve"> 5 שנים, נכון.</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bookmarkStart w:id="124" w:name="_ETM_Q_3599356"/>
      <w:bookmarkEnd w:id="124"/>
      <w:r>
        <w:rPr>
          <w:rFonts w:ascii="Arial" w:hAnsi="Arial" w:cs="David"/>
          <w:sz w:val="24"/>
          <w:szCs w:val="24"/>
          <w:u w:val="none"/>
          <w:rtl/>
        </w:rPr>
        <w:t>ת: אחרי שהוגשה תביעה למשמורת אב מלאה כן.</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bookmarkStart w:id="125" w:name="_ETM_Q_3605885"/>
      <w:bookmarkEnd w:id="125"/>
      <w:r>
        <w:rPr>
          <w:rFonts w:ascii="Arial" w:hAnsi="Arial" w:cs="David"/>
          <w:sz w:val="24"/>
          <w:szCs w:val="24"/>
          <w:u w:val="none"/>
          <w:rtl/>
        </w:rPr>
        <w:lastRenderedPageBreak/>
        <w:t xml:space="preserve">ש: בתביעה למשמורת </w:t>
      </w:r>
      <w:bookmarkStart w:id="126" w:name="_ETM_Q_3608445"/>
      <w:bookmarkEnd w:id="126"/>
      <w:r>
        <w:rPr>
          <w:rFonts w:ascii="Arial" w:hAnsi="Arial" w:cs="David"/>
          <w:sz w:val="24"/>
          <w:szCs w:val="24"/>
          <w:u w:val="none"/>
          <w:rtl/>
        </w:rPr>
        <w:t>אב הוא ביקש שלא תראי את הילדה?</w:t>
      </w:r>
      <w:bookmarkStart w:id="127" w:name="_ETM_Q_3607182"/>
      <w:bookmarkEnd w:id="127"/>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r>
        <w:rPr>
          <w:rFonts w:ascii="Arial" w:hAnsi="Arial" w:cs="David"/>
          <w:sz w:val="24"/>
          <w:szCs w:val="24"/>
          <w:u w:val="none"/>
          <w:rtl/>
        </w:rPr>
        <w:t>ת: את, ה</w:t>
      </w:r>
      <w:bookmarkStart w:id="128" w:name="_ETM_Q_3608904"/>
      <w:bookmarkEnd w:id="128"/>
      <w:r>
        <w:rPr>
          <w:rFonts w:ascii="Arial" w:hAnsi="Arial" w:cs="David"/>
          <w:sz w:val="24"/>
          <w:szCs w:val="24"/>
          <w:u w:val="none"/>
          <w:rtl/>
        </w:rPr>
        <w:t xml:space="preserve">וא ביקש, תגידי לי את, את כתבת אותה, </w:t>
      </w:r>
      <w:bookmarkStart w:id="129" w:name="_ETM_Q_3613205"/>
      <w:bookmarkEnd w:id="129"/>
      <w:r>
        <w:rPr>
          <w:rFonts w:ascii="Arial" w:hAnsi="Arial" w:cs="David"/>
          <w:sz w:val="24"/>
          <w:szCs w:val="24"/>
          <w:u w:val="none"/>
          <w:rtl/>
        </w:rPr>
        <w:t>נכון?</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bookmarkStart w:id="130" w:name="_ETM_Q_3614041"/>
      <w:bookmarkEnd w:id="130"/>
      <w:r>
        <w:rPr>
          <w:rFonts w:ascii="Arial" w:hAnsi="Arial" w:cs="David"/>
          <w:sz w:val="24"/>
          <w:szCs w:val="24"/>
          <w:u w:val="none"/>
          <w:rtl/>
        </w:rPr>
        <w:t>ש: הוא לא ביקש ש,</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bookmarkStart w:id="131" w:name="_ETM_Q_3611061"/>
      <w:bookmarkEnd w:id="131"/>
      <w:r>
        <w:rPr>
          <w:rFonts w:ascii="Arial" w:hAnsi="Arial" w:cs="David"/>
          <w:sz w:val="24"/>
          <w:szCs w:val="24"/>
          <w:u w:val="none"/>
          <w:rtl/>
        </w:rPr>
        <w:t>ת: אני רואה תביעת משמורת אב מלאה.</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bookmarkStart w:id="132" w:name="_ETM_Q_3614138"/>
      <w:bookmarkEnd w:id="132"/>
      <w:r>
        <w:rPr>
          <w:rFonts w:ascii="Arial" w:hAnsi="Arial" w:cs="David"/>
          <w:sz w:val="24"/>
          <w:szCs w:val="24"/>
          <w:u w:val="none"/>
          <w:rtl/>
        </w:rPr>
        <w:t xml:space="preserve">ש: הוא לא, </w:t>
      </w:r>
      <w:bookmarkStart w:id="133" w:name="_ETM_Q_3615288"/>
      <w:bookmarkEnd w:id="133"/>
      <w:r>
        <w:rPr>
          <w:rFonts w:ascii="Arial" w:hAnsi="Arial" w:cs="David"/>
          <w:sz w:val="24"/>
          <w:szCs w:val="24"/>
          <w:u w:val="none"/>
          <w:rtl/>
        </w:rPr>
        <w:t>הוא לא, לא ביקש לפגוע לך בהסדרי הראיה בסנטימטר אחד.</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bookmarkStart w:id="134" w:name="_ETM_Q_3617680"/>
      <w:bookmarkEnd w:id="134"/>
      <w:r>
        <w:rPr>
          <w:rFonts w:ascii="Arial" w:hAnsi="Arial" w:cs="David"/>
          <w:sz w:val="24"/>
          <w:szCs w:val="24"/>
          <w:u w:val="none"/>
          <w:rtl/>
        </w:rPr>
        <w:t>ת: לכן</w:t>
      </w:r>
      <w:bookmarkStart w:id="135" w:name="_ETM_Q_3619664"/>
      <w:bookmarkEnd w:id="135"/>
      <w:r>
        <w:rPr>
          <w:rFonts w:ascii="Arial" w:hAnsi="Arial" w:cs="David"/>
          <w:sz w:val="24"/>
          <w:szCs w:val="24"/>
          <w:u w:val="none"/>
          <w:rtl/>
        </w:rPr>
        <w:t>, לכן התבקשה משמורת בלעדית על הילדה? עורכת דין מר,</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bookmarkStart w:id="136" w:name="_ETM_Q_3621698"/>
      <w:bookmarkStart w:id="137" w:name="_ETM_Q_3626424"/>
      <w:bookmarkEnd w:id="136"/>
      <w:bookmarkEnd w:id="137"/>
      <w:r>
        <w:rPr>
          <w:rFonts w:ascii="Arial" w:hAnsi="Arial" w:cs="David"/>
          <w:sz w:val="24"/>
          <w:szCs w:val="24"/>
          <w:u w:val="none"/>
          <w:rtl/>
        </w:rPr>
        <w:t>[...]</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bookmarkStart w:id="138" w:name="_ETM_Q_3640876"/>
      <w:bookmarkEnd w:id="138"/>
      <w:r>
        <w:rPr>
          <w:rFonts w:ascii="Arial" w:hAnsi="Arial" w:cs="David"/>
          <w:sz w:val="24"/>
          <w:szCs w:val="24"/>
          <w:u w:val="none"/>
          <w:rtl/>
        </w:rPr>
        <w:t xml:space="preserve">ש: </w:t>
      </w:r>
      <w:r>
        <w:rPr>
          <w:rFonts w:ascii="Arial" w:hAnsi="Arial" w:cs="David"/>
          <w:sz w:val="24"/>
          <w:szCs w:val="24"/>
          <w:rtl/>
        </w:rPr>
        <w:t xml:space="preserve">שהיה צפוי שהסדרי הראיה </w:t>
      </w:r>
      <w:bookmarkStart w:id="139" w:name="_ETM_Q_3643748"/>
      <w:bookmarkEnd w:id="139"/>
      <w:r>
        <w:rPr>
          <w:rFonts w:ascii="Arial" w:hAnsi="Arial" w:cs="David"/>
          <w:sz w:val="24"/>
          <w:szCs w:val="24"/>
          <w:rtl/>
        </w:rPr>
        <w:t>יורחבו כאשר את התנגדת אליהם במשך כל כך הרבה שנים</w:t>
      </w:r>
      <w:r>
        <w:rPr>
          <w:rFonts w:ascii="Arial" w:hAnsi="Arial" w:cs="David"/>
          <w:sz w:val="24"/>
          <w:szCs w:val="24"/>
          <w:u w:val="none"/>
          <w:rtl/>
        </w:rPr>
        <w:t>?</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bookmarkStart w:id="140" w:name="_ETM_Q_3644939"/>
      <w:bookmarkEnd w:id="140"/>
      <w:r>
        <w:rPr>
          <w:rFonts w:ascii="Arial" w:hAnsi="Arial" w:cs="David"/>
          <w:sz w:val="24"/>
          <w:szCs w:val="24"/>
          <w:u w:val="none"/>
          <w:rtl/>
        </w:rPr>
        <w:t xml:space="preserve">ת: </w:t>
      </w:r>
      <w:r>
        <w:rPr>
          <w:rFonts w:ascii="Arial" w:hAnsi="Arial" w:cs="David"/>
          <w:sz w:val="24"/>
          <w:szCs w:val="24"/>
          <w:rtl/>
        </w:rPr>
        <w:t>הסדר</w:t>
      </w:r>
      <w:bookmarkStart w:id="141" w:name="_ETM_Q_3648965"/>
      <w:bookmarkEnd w:id="141"/>
      <w:r>
        <w:rPr>
          <w:rFonts w:ascii="Arial" w:hAnsi="Arial" w:cs="David"/>
          <w:sz w:val="24"/>
          <w:szCs w:val="24"/>
          <w:rtl/>
        </w:rPr>
        <w:t xml:space="preserve">י הראיה הורחבו, אני התנגדתי להרחבה של חלק מהם, אני </w:t>
      </w:r>
      <w:bookmarkStart w:id="142" w:name="_ETM_Q_3652454"/>
      <w:bookmarkEnd w:id="142"/>
      <w:r>
        <w:rPr>
          <w:rFonts w:ascii="Arial" w:hAnsi="Arial" w:cs="David"/>
          <w:sz w:val="24"/>
          <w:szCs w:val="24"/>
          <w:rtl/>
        </w:rPr>
        <w:t xml:space="preserve">רציתי שזה ייעשה במסורה, אני רציתי שזה ייעשה </w:t>
      </w:r>
      <w:bookmarkStart w:id="143" w:name="_ETM_Q_3655995"/>
      <w:bookmarkEnd w:id="143"/>
      <w:r>
        <w:rPr>
          <w:rFonts w:ascii="Arial" w:hAnsi="Arial" w:cs="David"/>
          <w:sz w:val="24"/>
          <w:szCs w:val="24"/>
          <w:rtl/>
        </w:rPr>
        <w:t>בהדרגה</w:t>
      </w:r>
      <w:r>
        <w:rPr>
          <w:rFonts w:ascii="Arial" w:hAnsi="Arial" w:cs="David"/>
          <w:sz w:val="24"/>
          <w:szCs w:val="24"/>
          <w:u w:val="none"/>
          <w:rtl/>
        </w:rPr>
        <w:t>,</w:t>
      </w:r>
      <w:bookmarkStart w:id="144" w:name="_ETM_Q_3653239"/>
      <w:bookmarkEnd w:id="144"/>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ש: </w:t>
      </w:r>
      <w:r>
        <w:rPr>
          <w:rFonts w:ascii="Arial" w:hAnsi="Arial" w:cs="David"/>
          <w:sz w:val="24"/>
          <w:szCs w:val="24"/>
          <w:rtl/>
        </w:rPr>
        <w:t>את רצית שזה לא ייעשה בכלל.</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bookmarkStart w:id="145" w:name="_ETM_Q_3656345"/>
      <w:bookmarkEnd w:id="145"/>
      <w:r>
        <w:rPr>
          <w:rFonts w:ascii="Arial" w:hAnsi="Arial" w:cs="David"/>
          <w:sz w:val="24"/>
          <w:szCs w:val="24"/>
          <w:u w:val="none"/>
          <w:rtl/>
        </w:rPr>
        <w:t>[...]</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עו"ד מר: </w:t>
      </w:r>
      <w:r>
        <w:rPr>
          <w:rFonts w:ascii="Arial" w:hAnsi="Arial" w:cs="David"/>
          <w:sz w:val="24"/>
          <w:szCs w:val="24"/>
          <w:rtl/>
        </w:rPr>
        <w:t xml:space="preserve">את רצית שזה לא ייעשה, אני שואלת אותך, </w:t>
      </w:r>
      <w:bookmarkStart w:id="146" w:name="_ETM_Q_3662983"/>
      <w:bookmarkEnd w:id="146"/>
      <w:r>
        <w:rPr>
          <w:rFonts w:ascii="Arial" w:hAnsi="Arial" w:cs="David"/>
          <w:sz w:val="24"/>
          <w:szCs w:val="24"/>
          <w:rtl/>
        </w:rPr>
        <w:t>נכון שרצית שזה לא ייעשה</w:t>
      </w:r>
      <w:r>
        <w:rPr>
          <w:rFonts w:ascii="Arial" w:hAnsi="Arial" w:cs="David"/>
          <w:sz w:val="24"/>
          <w:szCs w:val="24"/>
          <w:u w:val="none"/>
          <w:rtl/>
        </w:rPr>
        <w:t>?</w:t>
      </w:r>
    </w:p>
    <w:p w:rsidR="00501CE0" w:rsidRDefault="007926FD" w:rsidP="007926FD">
      <w:pPr>
        <w:pStyle w:val="ad"/>
        <w:shd w:val="clear" w:color="auto" w:fill="auto"/>
        <w:tabs>
          <w:tab w:val="left" w:pos="273"/>
        </w:tabs>
        <w:spacing w:line="360" w:lineRule="auto"/>
        <w:ind w:left="567" w:firstLine="0"/>
        <w:jc w:val="both"/>
        <w:rPr>
          <w:rFonts w:ascii="Arial" w:hAnsi="Arial" w:cs="David"/>
          <w:sz w:val="24"/>
          <w:szCs w:val="24"/>
          <w:u w:val="none"/>
          <w:rtl/>
        </w:rPr>
      </w:pPr>
      <w:bookmarkStart w:id="147" w:name="_ETM_Q_3661718"/>
      <w:bookmarkEnd w:id="147"/>
      <w:r>
        <w:rPr>
          <w:rFonts w:ascii="Arial" w:hAnsi="Arial" w:cs="David" w:hint="cs"/>
          <w:sz w:val="24"/>
          <w:szCs w:val="24"/>
          <w:u w:val="none"/>
          <w:rtl/>
        </w:rPr>
        <w:t>האם</w:t>
      </w:r>
      <w:r w:rsidR="00501CE0">
        <w:rPr>
          <w:rFonts w:ascii="Arial" w:hAnsi="Arial" w:cs="David"/>
          <w:sz w:val="24"/>
          <w:szCs w:val="24"/>
          <w:u w:val="none"/>
          <w:rtl/>
        </w:rPr>
        <w:t xml:space="preserve">: </w:t>
      </w:r>
      <w:r w:rsidR="00501CE0">
        <w:rPr>
          <w:rFonts w:ascii="Arial" w:hAnsi="Arial" w:cs="David"/>
          <w:sz w:val="24"/>
          <w:szCs w:val="24"/>
          <w:rtl/>
        </w:rPr>
        <w:t>אני רציתי שזה ייעשה בהדר</w:t>
      </w:r>
      <w:bookmarkStart w:id="148" w:name="_ETM_Q_3667415"/>
      <w:bookmarkEnd w:id="148"/>
      <w:r w:rsidR="00501CE0">
        <w:rPr>
          <w:rFonts w:ascii="Arial" w:hAnsi="Arial" w:cs="David"/>
          <w:sz w:val="24"/>
          <w:szCs w:val="24"/>
          <w:rtl/>
        </w:rPr>
        <w:t>גה</w:t>
      </w:r>
      <w:r w:rsidR="00501CE0">
        <w:rPr>
          <w:rFonts w:ascii="Arial" w:hAnsi="Arial" w:cs="David"/>
          <w:sz w:val="24"/>
          <w:szCs w:val="24"/>
          <w:u w:val="none"/>
          <w:rtl/>
        </w:rPr>
        <w:t xml:space="preserve">. אני זוכרת במפורש שיחה שלי עם </w:t>
      </w:r>
      <w:bookmarkStart w:id="149" w:name="_ETM_Q_3668864"/>
      <w:bookmarkEnd w:id="149"/>
      <w:r>
        <w:rPr>
          <w:rFonts w:ascii="Arial" w:hAnsi="Arial" w:cs="David" w:hint="cs"/>
          <w:sz w:val="24"/>
          <w:szCs w:val="24"/>
          <w:u w:val="none"/>
          <w:rtl/>
        </w:rPr>
        <w:t>האב</w:t>
      </w:r>
      <w:r>
        <w:rPr>
          <w:rFonts w:ascii="Arial" w:hAnsi="Arial" w:cs="David"/>
          <w:sz w:val="24"/>
          <w:szCs w:val="24"/>
          <w:u w:val="none"/>
          <w:rtl/>
        </w:rPr>
        <w:t xml:space="preserve"> </w:t>
      </w:r>
      <w:r w:rsidR="00501CE0">
        <w:rPr>
          <w:rFonts w:ascii="Arial" w:hAnsi="Arial" w:cs="David"/>
          <w:sz w:val="24"/>
          <w:szCs w:val="24"/>
          <w:u w:val="none"/>
          <w:rtl/>
        </w:rPr>
        <w:t xml:space="preserve">שאני בוכה על המדרכה מחוץ לבית שלי, בבקשה בוא </w:t>
      </w:r>
      <w:bookmarkStart w:id="150" w:name="_ETM_Q_3673033"/>
      <w:bookmarkEnd w:id="150"/>
      <w:r w:rsidR="00501CE0">
        <w:rPr>
          <w:rFonts w:ascii="Arial" w:hAnsi="Arial" w:cs="David"/>
          <w:sz w:val="24"/>
          <w:szCs w:val="24"/>
          <w:u w:val="none"/>
          <w:rtl/>
        </w:rPr>
        <w:t xml:space="preserve">נעשה את זה לאט יותר כי היא תינוקת קטנה. היא </w:t>
      </w:r>
      <w:bookmarkStart w:id="151" w:name="_ETM_Q_3672763"/>
      <w:bookmarkEnd w:id="151"/>
      <w:r w:rsidR="00501CE0">
        <w:rPr>
          <w:rFonts w:ascii="Arial" w:hAnsi="Arial" w:cs="David"/>
          <w:sz w:val="24"/>
          <w:szCs w:val="24"/>
          <w:u w:val="none"/>
          <w:rtl/>
        </w:rPr>
        <w:t xml:space="preserve">התחילה ללכת להסדרים כשהיא הייתה בת שנה ולא קל לאף </w:t>
      </w:r>
      <w:bookmarkStart w:id="152" w:name="_ETM_Q_3679033"/>
      <w:bookmarkEnd w:id="152"/>
      <w:r w:rsidR="00501CE0">
        <w:rPr>
          <w:rFonts w:ascii="Arial" w:hAnsi="Arial" w:cs="David"/>
          <w:sz w:val="24"/>
          <w:szCs w:val="24"/>
          <w:u w:val="none"/>
          <w:rtl/>
        </w:rPr>
        <w:t xml:space="preserve">אמא וגם לקבל תביעה למשמורת בלעדית לאב זה לא </w:t>
      </w:r>
      <w:bookmarkStart w:id="153" w:name="_ETM_Q_3682853"/>
      <w:bookmarkEnd w:id="153"/>
      <w:r w:rsidR="00501CE0">
        <w:rPr>
          <w:rFonts w:ascii="Arial" w:hAnsi="Arial" w:cs="David"/>
          <w:sz w:val="24"/>
          <w:szCs w:val="24"/>
          <w:u w:val="none"/>
          <w:rtl/>
        </w:rPr>
        <w:t xml:space="preserve">קל ומי כמוך יודעת כמה תביעות התקבלו במהלך השנים האלה </w:t>
      </w:r>
      <w:bookmarkStart w:id="154" w:name="_ETM_Q_3683521"/>
      <w:bookmarkEnd w:id="154"/>
      <w:r w:rsidR="00501CE0">
        <w:rPr>
          <w:rFonts w:ascii="Arial" w:hAnsi="Arial" w:cs="David"/>
          <w:sz w:val="24"/>
          <w:szCs w:val="24"/>
          <w:u w:val="none"/>
          <w:rtl/>
        </w:rPr>
        <w:t>שאת שואלת אותי על שאלה פה ושאלה שם,</w:t>
      </w:r>
      <w:bookmarkStart w:id="155" w:name="_ETM_Q_3684763"/>
      <w:bookmarkEnd w:id="155"/>
    </w:p>
    <w:p w:rsidR="00501CE0" w:rsidRDefault="00501CE0" w:rsidP="007926FD">
      <w:pPr>
        <w:pStyle w:val="ad"/>
        <w:shd w:val="clear" w:color="auto" w:fill="auto"/>
        <w:tabs>
          <w:tab w:val="left" w:pos="273"/>
        </w:tabs>
        <w:spacing w:line="360" w:lineRule="auto"/>
        <w:ind w:left="567" w:firstLine="0"/>
        <w:jc w:val="both"/>
        <w:rPr>
          <w:rFonts w:ascii="Arial" w:hAnsi="Arial" w:cs="David"/>
          <w:sz w:val="24"/>
          <w:szCs w:val="24"/>
          <w:u w:val="none"/>
          <w:rtl/>
        </w:rPr>
      </w:pPr>
      <w:r>
        <w:rPr>
          <w:rFonts w:ascii="Arial" w:hAnsi="Arial" w:cs="David"/>
          <w:sz w:val="24"/>
          <w:szCs w:val="24"/>
          <w:u w:val="none"/>
          <w:rtl/>
        </w:rPr>
        <w:t>ש: כל  התביעות</w:t>
      </w:r>
      <w:bookmarkStart w:id="156" w:name="_ETM_Q_3686224"/>
      <w:bookmarkEnd w:id="156"/>
      <w:r>
        <w:rPr>
          <w:rFonts w:ascii="Arial" w:hAnsi="Arial" w:cs="David"/>
          <w:sz w:val="24"/>
          <w:szCs w:val="24"/>
          <w:u w:val="none"/>
          <w:rtl/>
        </w:rPr>
        <w:t xml:space="preserve"> של </w:t>
      </w:r>
      <w:r w:rsidR="007926FD">
        <w:rPr>
          <w:rFonts w:ascii="Arial" w:hAnsi="Arial" w:cs="David" w:hint="cs"/>
          <w:sz w:val="24"/>
          <w:szCs w:val="24"/>
          <w:u w:val="none"/>
          <w:rtl/>
        </w:rPr>
        <w:t xml:space="preserve">האב </w:t>
      </w:r>
      <w:r>
        <w:rPr>
          <w:rFonts w:ascii="Arial" w:hAnsi="Arial" w:cs="David"/>
          <w:sz w:val="24"/>
          <w:szCs w:val="24"/>
          <w:u w:val="none"/>
          <w:rtl/>
        </w:rPr>
        <w:t>לגבי הילדה התקבלו, נכון?</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bookmarkStart w:id="157" w:name="_ETM_Q_3687992"/>
      <w:bookmarkEnd w:id="157"/>
      <w:r>
        <w:rPr>
          <w:rFonts w:ascii="Arial" w:hAnsi="Arial" w:cs="David"/>
          <w:sz w:val="24"/>
          <w:szCs w:val="24"/>
          <w:u w:val="none"/>
          <w:rtl/>
        </w:rPr>
        <w:t xml:space="preserve">ת: בזמנו, כן, זה נכון </w:t>
      </w:r>
      <w:bookmarkStart w:id="158" w:name="_ETM_Q_3691122"/>
      <w:bookmarkEnd w:id="158"/>
      <w:r>
        <w:rPr>
          <w:rFonts w:ascii="Arial" w:hAnsi="Arial" w:cs="David"/>
          <w:sz w:val="24"/>
          <w:szCs w:val="24"/>
          <w:u w:val="none"/>
          <w:rtl/>
        </w:rPr>
        <w:t>חלקית, התשובה היא זה נכון.</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bookmarkStart w:id="159" w:name="_ETM_Q_3694833"/>
      <w:bookmarkEnd w:id="159"/>
      <w:r>
        <w:rPr>
          <w:rFonts w:ascii="Arial" w:hAnsi="Arial" w:cs="David"/>
          <w:sz w:val="24"/>
          <w:szCs w:val="24"/>
          <w:u w:val="none"/>
          <w:rtl/>
        </w:rPr>
        <w:t>ש: נכון.</w:t>
      </w:r>
      <w:bookmarkStart w:id="160" w:name="_ETM_Q_3690672"/>
      <w:bookmarkEnd w:id="160"/>
    </w:p>
    <w:p w:rsidR="00501CE0" w:rsidRDefault="00501CE0" w:rsidP="00501CE0">
      <w:pPr>
        <w:pStyle w:val="ad"/>
        <w:shd w:val="clear" w:color="auto" w:fill="auto"/>
        <w:tabs>
          <w:tab w:val="left" w:pos="273"/>
        </w:tabs>
        <w:spacing w:line="360" w:lineRule="auto"/>
        <w:ind w:left="567" w:firstLine="0"/>
        <w:jc w:val="both"/>
        <w:rPr>
          <w:rFonts w:ascii="Arial" w:hAnsi="Arial" w:cs="David"/>
          <w:b w:val="0"/>
          <w:bCs w:val="0"/>
          <w:sz w:val="24"/>
          <w:szCs w:val="24"/>
          <w:u w:val="none"/>
          <w:rtl/>
        </w:rPr>
      </w:pPr>
      <w:r>
        <w:rPr>
          <w:rFonts w:ascii="Arial" w:hAnsi="Arial" w:cs="David"/>
          <w:sz w:val="24"/>
          <w:szCs w:val="24"/>
          <w:u w:val="none"/>
          <w:rtl/>
        </w:rPr>
        <w:t xml:space="preserve">ת: </w:t>
      </w:r>
      <w:r>
        <w:rPr>
          <w:rFonts w:ascii="Arial" w:hAnsi="Arial" w:cs="David"/>
          <w:sz w:val="24"/>
          <w:szCs w:val="24"/>
          <w:rtl/>
        </w:rPr>
        <w:t xml:space="preserve">היה הסדר ביום חמישי שהורחב, </w:t>
      </w:r>
      <w:bookmarkStart w:id="161" w:name="_ETM_Q_3696657"/>
      <w:bookmarkEnd w:id="161"/>
      <w:r>
        <w:rPr>
          <w:rFonts w:ascii="Arial" w:hAnsi="Arial" w:cs="David"/>
          <w:sz w:val="24"/>
          <w:szCs w:val="24"/>
          <w:rtl/>
        </w:rPr>
        <w:t>היה הסדר ביום שני שהתנגדתי כי זה היה נתון להסכמתי</w:t>
      </w:r>
      <w:r>
        <w:rPr>
          <w:rFonts w:ascii="Arial" w:hAnsi="Arial" w:cs="David"/>
          <w:sz w:val="24"/>
          <w:szCs w:val="24"/>
          <w:u w:val="none"/>
          <w:rtl/>
        </w:rPr>
        <w:t xml:space="preserve">, </w:t>
      </w:r>
      <w:bookmarkStart w:id="162" w:name="_ETM_Q_3702347"/>
      <w:bookmarkEnd w:id="162"/>
      <w:r>
        <w:rPr>
          <w:rFonts w:ascii="Arial" w:hAnsi="Arial" w:cs="David"/>
          <w:sz w:val="24"/>
          <w:szCs w:val="24"/>
          <w:u w:val="none"/>
          <w:rtl/>
        </w:rPr>
        <w:t xml:space="preserve">כן." </w:t>
      </w:r>
      <w:r>
        <w:rPr>
          <w:rFonts w:ascii="David" w:hAnsi="David" w:cs="David"/>
          <w:b w:val="0"/>
          <w:bCs w:val="0"/>
          <w:sz w:val="24"/>
          <w:szCs w:val="24"/>
          <w:u w:val="none"/>
          <w:rtl/>
        </w:rPr>
        <w:t>(ההדגשות בקו הוספו)</w:t>
      </w:r>
      <w:r>
        <w:rPr>
          <w:rFonts w:ascii="Arial" w:hAnsi="Arial" w:cs="David"/>
          <w:b w:val="0"/>
          <w:bCs w:val="0"/>
          <w:sz w:val="24"/>
          <w:szCs w:val="24"/>
          <w:u w:val="none"/>
          <w:rtl/>
        </w:rPr>
        <w:t>.</w:t>
      </w:r>
    </w:p>
    <w:p w:rsidR="00501CE0" w:rsidRDefault="00501CE0" w:rsidP="00501CE0">
      <w:pPr>
        <w:pStyle w:val="af"/>
        <w:spacing w:after="0" w:line="360" w:lineRule="auto"/>
        <w:ind w:left="651"/>
        <w:jc w:val="both"/>
        <w:rPr>
          <w:rFonts w:ascii="David" w:hAnsi="David" w:cs="David"/>
          <w:sz w:val="24"/>
          <w:szCs w:val="24"/>
          <w:rtl/>
        </w:rPr>
      </w:pPr>
      <w:r>
        <w:rPr>
          <w:rFonts w:ascii="David" w:hAnsi="David" w:cs="David"/>
          <w:sz w:val="24"/>
          <w:szCs w:val="24"/>
          <w:rtl/>
        </w:rPr>
        <w:t>(ראו פרוטוקול מיום 4.11.2021 עמ' 39 שו' 7-34, עמ' 40 שו' 1-34, עמ' 41 שו' 1-34 ועמ' 42 שו' 1-24)</w:t>
      </w:r>
    </w:p>
    <w:p w:rsidR="00501CE0" w:rsidRDefault="00501CE0" w:rsidP="00501CE0">
      <w:pPr>
        <w:pStyle w:val="af"/>
        <w:spacing w:after="0" w:line="360" w:lineRule="auto"/>
        <w:ind w:left="651"/>
        <w:jc w:val="both"/>
        <w:rPr>
          <w:rFonts w:ascii="David" w:hAnsi="David" w:cs="David"/>
          <w:sz w:val="24"/>
          <w:szCs w:val="24"/>
          <w:rtl/>
        </w:rPr>
      </w:pPr>
    </w:p>
    <w:p w:rsidR="00501CE0" w:rsidRDefault="00501CE0" w:rsidP="00501CE0">
      <w:pPr>
        <w:pStyle w:val="af"/>
        <w:numPr>
          <w:ilvl w:val="0"/>
          <w:numId w:val="1"/>
        </w:numPr>
        <w:spacing w:after="0" w:line="360" w:lineRule="auto"/>
        <w:jc w:val="both"/>
        <w:rPr>
          <w:rFonts w:ascii="David" w:hAnsi="David" w:cs="David"/>
          <w:b/>
          <w:bCs/>
          <w:sz w:val="24"/>
          <w:szCs w:val="24"/>
        </w:rPr>
      </w:pPr>
      <w:r>
        <w:rPr>
          <w:rFonts w:ascii="David" w:hAnsi="David" w:cs="David"/>
          <w:sz w:val="24"/>
          <w:szCs w:val="24"/>
          <w:rtl/>
        </w:rPr>
        <w:t>הצדדים הגיעו להסכם בשנת 2014. התביעה הנוכחית הוגשה בחודש 3/2020. במסגרת ההסכם צויין מפורשות מהנוסח הכתוב והברור כי הציפיה וההסכמה הינה הרחבה של זמני השהות כך צויין: "</w:t>
      </w:r>
      <w:r>
        <w:rPr>
          <w:rFonts w:ascii="David" w:eastAsia="David" w:hAnsi="David" w:cs="David"/>
          <w:b/>
          <w:bCs/>
          <w:sz w:val="24"/>
          <w:szCs w:val="24"/>
          <w:rtl/>
        </w:rPr>
        <w:t>הסדרי הראיה יורחבו בהדרגה... תישקל גם הדרגה נוספת.... ובהתאם להסכמות הצדדים ולהמלצת פקידת הסעד</w:t>
      </w:r>
      <w:r>
        <w:rPr>
          <w:rFonts w:ascii="David" w:eastAsia="David" w:hAnsi="David" w:cs="David"/>
          <w:sz w:val="24"/>
          <w:szCs w:val="24"/>
          <w:rtl/>
        </w:rPr>
        <w:t xml:space="preserve">...". כמו כן כבר באותה העת נקבע כי </w:t>
      </w:r>
      <w:r>
        <w:rPr>
          <w:rFonts w:ascii="David" w:eastAsia="David" w:hAnsi="David" w:cs="David"/>
          <w:b/>
          <w:bCs/>
          <w:sz w:val="24"/>
          <w:szCs w:val="24"/>
          <w:rtl/>
        </w:rPr>
        <w:t>האב יקבל את הקטינה לרשותו במחצית ימי החגים והחופשות מבית הספר.</w:t>
      </w:r>
      <w:r>
        <w:rPr>
          <w:rFonts w:ascii="David" w:hAnsi="David" w:cs="David"/>
          <w:b/>
          <w:bCs/>
          <w:sz w:val="24"/>
          <w:szCs w:val="24"/>
          <w:rtl/>
        </w:rPr>
        <w:t xml:space="preserve"> </w:t>
      </w:r>
      <w:r>
        <w:rPr>
          <w:rFonts w:ascii="David" w:hAnsi="David" w:cs="David"/>
          <w:sz w:val="24"/>
          <w:szCs w:val="24"/>
          <w:rtl/>
        </w:rPr>
        <w:t>על כן הייתה ציפיה (לגיטימית וטבעית) של האב כי זמני השהות יורחבו. הדבר צויין מפורשות בהסכם שאושר כפסק דין וצויין גם מנגנון מפורש להרחבה של זמני השהות.</w:t>
      </w:r>
    </w:p>
    <w:p w:rsidR="00501CE0" w:rsidRDefault="00501CE0" w:rsidP="00501CE0">
      <w:pPr>
        <w:pStyle w:val="af"/>
        <w:numPr>
          <w:ilvl w:val="0"/>
          <w:numId w:val="1"/>
        </w:numPr>
        <w:spacing w:after="0" w:line="360" w:lineRule="auto"/>
        <w:jc w:val="both"/>
        <w:rPr>
          <w:rFonts w:ascii="David" w:hAnsi="David" w:cs="David"/>
          <w:b/>
          <w:bCs/>
          <w:sz w:val="24"/>
          <w:szCs w:val="24"/>
        </w:rPr>
      </w:pPr>
      <w:r>
        <w:rPr>
          <w:rFonts w:ascii="David" w:hAnsi="David" w:cs="David"/>
          <w:b/>
          <w:bCs/>
          <w:sz w:val="24"/>
          <w:szCs w:val="24"/>
          <w:rtl/>
        </w:rPr>
        <w:lastRenderedPageBreak/>
        <w:t xml:space="preserve">על כן לא ניתן לראות בהרחבת זמני השהות </w:t>
      </w:r>
      <w:r>
        <w:rPr>
          <w:rFonts w:ascii="David" w:hAnsi="David" w:cs="David"/>
          <w:b/>
          <w:bCs/>
          <w:sz w:val="24"/>
          <w:szCs w:val="24"/>
          <w:u w:val="single"/>
          <w:rtl/>
        </w:rPr>
        <w:t>על פי ההסכם</w:t>
      </w:r>
      <w:r>
        <w:rPr>
          <w:rFonts w:ascii="David" w:hAnsi="David" w:cs="David"/>
          <w:b/>
          <w:bCs/>
          <w:sz w:val="24"/>
          <w:szCs w:val="24"/>
          <w:rtl/>
        </w:rPr>
        <w:t xml:space="preserve"> כשינוי נסיבות מהותי. מדובר היה בשינוי צפוי ומוסכם.</w:t>
      </w:r>
      <w:r>
        <w:rPr>
          <w:rFonts w:ascii="David" w:hAnsi="David" w:cs="David"/>
          <w:sz w:val="24"/>
          <w:szCs w:val="24"/>
          <w:rtl/>
        </w:rPr>
        <w:t xml:space="preserve"> העובדה כי האם התנגדה לחלק מההרחבות שביקש האם גם היא לא שוללת את מה שנקבע בהסכם. בהסכם נקבע כי הרחבה והדרגה נוספת יהיו בהתאם להסכמות הצדדים ולהמלצת פקידת הסעד – כך פעלו הצדדים. אכן מצער כי נדרשו הליכים משפטיים לכך אולם הדבר גם הוא היה צפוי וזכות כ"א מהצדדים לממש את זכויותיו המשפטיות ולא ניתן לראות בכך שינוי נסיבות. </w:t>
      </w:r>
    </w:p>
    <w:p w:rsidR="00501CE0" w:rsidRDefault="00501CE0" w:rsidP="00501CE0">
      <w:pPr>
        <w:pStyle w:val="af"/>
        <w:rPr>
          <w:rFonts w:ascii="David" w:hAnsi="David" w:cs="David"/>
          <w:b/>
          <w:bCs/>
          <w:sz w:val="24"/>
          <w:szCs w:val="24"/>
        </w:rPr>
      </w:pPr>
    </w:p>
    <w:p w:rsidR="00501CE0" w:rsidRDefault="00501CE0" w:rsidP="00501CE0">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לכך יש להוסיף כי גם לשיטתו של האב השינוי המשמעותי חל עוד בשנת 2016. התביעה הוגשה בחודש 3/2020. השיהוי בהגשת התביעה בין הרחבת זמני השהות שהאב טוען כי היא מהווה שינוי נסיבות מהותי לבין תביעתו לביטול דמי המזונות מעלה כי האב לא סבר בזמן אמת כי מדובר בשינוי נסיבות מהותי. ברמת הקונפליקט בין הצדדים וההתנהלות המשפטית העניפה התנהלות סבירה יותר כי לו סבר האב כי מימוש זמני השהות כפי שנקבע מהווה שינוי מהותי סביר כי היה מגיש מייד תביעה זו. השתהותו מעידה כי הוא לא ראה בכך את השינוי לו טוען כעת.</w:t>
      </w:r>
    </w:p>
    <w:p w:rsidR="00501CE0" w:rsidRDefault="00501CE0" w:rsidP="00501CE0">
      <w:pPr>
        <w:pStyle w:val="af"/>
        <w:rPr>
          <w:rFonts w:ascii="David" w:hAnsi="David" w:cs="David"/>
          <w:sz w:val="24"/>
          <w:szCs w:val="24"/>
        </w:rPr>
      </w:pPr>
    </w:p>
    <w:p w:rsidR="00501CE0" w:rsidRDefault="00501CE0" w:rsidP="00501CE0">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לכך יש להוסיף כי בתביעה הנוספת שהגיש האיש ביום 16.01.2018 למשמורת על הקטינה (תמ"ש 35463-01-18), במסגרת הליך זה ובהתאם להסכמות הצדדים "</w:t>
      </w:r>
      <w:r>
        <w:rPr>
          <w:rFonts w:ascii="David" w:hAnsi="David" w:cs="David"/>
          <w:b/>
          <w:bCs/>
          <w:sz w:val="24"/>
          <w:szCs w:val="24"/>
          <w:rtl/>
        </w:rPr>
        <w:t xml:space="preserve">ניתן פסק דין המורה על אחריות הורית משותפת של שני הצדדים על הקטינה, </w:t>
      </w:r>
      <w:r>
        <w:rPr>
          <w:rFonts w:ascii="David" w:hAnsi="David" w:cs="David"/>
          <w:b/>
          <w:bCs/>
          <w:sz w:val="24"/>
          <w:szCs w:val="24"/>
          <w:u w:val="single"/>
          <w:rtl/>
        </w:rPr>
        <w:t>תוך הותרת זמני השהות הקיימים על כנם</w:t>
      </w:r>
      <w:r>
        <w:rPr>
          <w:rFonts w:ascii="David" w:hAnsi="David" w:cs="David"/>
          <w:sz w:val="24"/>
          <w:szCs w:val="24"/>
          <w:rtl/>
        </w:rPr>
        <w:t xml:space="preserve">" (ראו סעיף 4 לפסק הדין שניתן ביום 2.7.2019). קרי זמני השהות לא שונו גם בעקבות ההליך הנוסף שהגיש. </w:t>
      </w:r>
    </w:p>
    <w:p w:rsidR="00501CE0" w:rsidRDefault="00501CE0" w:rsidP="00501CE0">
      <w:pPr>
        <w:pStyle w:val="af"/>
        <w:rPr>
          <w:rFonts w:ascii="David" w:hAnsi="David" w:cs="David"/>
          <w:sz w:val="24"/>
          <w:szCs w:val="24"/>
        </w:rPr>
      </w:pPr>
    </w:p>
    <w:p w:rsidR="00501CE0" w:rsidRDefault="00501CE0" w:rsidP="00501CE0">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יובהר עוד כי מעדותו של האב אין מדובר במצב שבו בעת פסק הדין הוא ראה את הקטינה זמני מצומצמים מאוד. כבר אז הזמנים כללו לינה וכללו הרחבה והוספת זמנים משמעותית וכבר אז למשל נקבע כי הקטינה תהיה עם האב מחצית החגים והחופשות. על כן אין לראות בכך זמני שהות מועטים או שינוי נסיבות מהותי למשל מהורה שלא ראה כלל את ילדו או ראה אותו שעות ספורות בשבוע. </w:t>
      </w:r>
    </w:p>
    <w:p w:rsidR="00501CE0" w:rsidRDefault="00501CE0" w:rsidP="00501CE0">
      <w:pPr>
        <w:pStyle w:val="af"/>
        <w:rPr>
          <w:rFonts w:ascii="David" w:hAnsi="David" w:cs="David"/>
          <w:sz w:val="24"/>
          <w:szCs w:val="24"/>
        </w:rPr>
      </w:pPr>
    </w:p>
    <w:p w:rsidR="00501CE0" w:rsidRDefault="00501CE0" w:rsidP="00501CE0">
      <w:pPr>
        <w:pStyle w:val="af"/>
        <w:numPr>
          <w:ilvl w:val="0"/>
          <w:numId w:val="1"/>
        </w:numPr>
        <w:spacing w:after="0" w:line="360" w:lineRule="auto"/>
        <w:jc w:val="both"/>
        <w:rPr>
          <w:rFonts w:ascii="David" w:hAnsi="David" w:cs="David"/>
          <w:b/>
          <w:bCs/>
          <w:sz w:val="24"/>
          <w:szCs w:val="24"/>
          <w:rtl/>
        </w:rPr>
      </w:pPr>
      <w:r>
        <w:rPr>
          <w:rFonts w:ascii="David" w:hAnsi="David" w:cs="David"/>
          <w:b/>
          <w:bCs/>
          <w:sz w:val="24"/>
          <w:szCs w:val="24"/>
          <w:rtl/>
        </w:rPr>
        <w:t xml:space="preserve">על כן ולאחר בחינת עמדות שני הצדדים ועדויותיהם ולאור נוסחו של פסק הדין אני קובעת כי הרחבת זמני השהות אינה מהווה שינוי נסיבות מהותי, וטענה זו נדחית. </w:t>
      </w:r>
    </w:p>
    <w:p w:rsidR="00501CE0" w:rsidRDefault="00501CE0" w:rsidP="00501CE0">
      <w:pPr>
        <w:pStyle w:val="af"/>
        <w:spacing w:after="0" w:line="360" w:lineRule="auto"/>
        <w:ind w:left="651"/>
        <w:jc w:val="both"/>
        <w:rPr>
          <w:rFonts w:ascii="David" w:hAnsi="David" w:cs="David"/>
          <w:b/>
          <w:bCs/>
          <w:sz w:val="24"/>
          <w:szCs w:val="24"/>
        </w:rPr>
      </w:pPr>
    </w:p>
    <w:p w:rsidR="00501CE0" w:rsidRDefault="00501CE0" w:rsidP="00501CE0">
      <w:pPr>
        <w:pStyle w:val="af"/>
        <w:spacing w:after="0" w:line="360" w:lineRule="auto"/>
        <w:ind w:left="84"/>
        <w:jc w:val="both"/>
        <w:rPr>
          <w:rFonts w:ascii="David" w:hAnsi="David" w:cs="David"/>
          <w:b/>
          <w:bCs/>
          <w:sz w:val="24"/>
          <w:szCs w:val="24"/>
          <w:u w:val="single"/>
          <w:rtl/>
        </w:rPr>
      </w:pPr>
      <w:r>
        <w:rPr>
          <w:rFonts w:ascii="David" w:hAnsi="David" w:cs="David"/>
          <w:b/>
          <w:bCs/>
          <w:sz w:val="24"/>
          <w:szCs w:val="24"/>
          <w:u w:val="single"/>
          <w:rtl/>
        </w:rPr>
        <w:t>טענות האיש באשר ליכולתה הכלכלית של האישה לעומת יכולתו הכלכלית</w:t>
      </w:r>
    </w:p>
    <w:p w:rsidR="00501CE0" w:rsidRDefault="00501CE0" w:rsidP="00501CE0">
      <w:pPr>
        <w:pStyle w:val="af"/>
        <w:rPr>
          <w:rFonts w:ascii="David" w:hAnsi="David" w:cs="David"/>
          <w:b/>
          <w:bCs/>
          <w:sz w:val="24"/>
          <w:szCs w:val="24"/>
        </w:rPr>
      </w:pPr>
    </w:p>
    <w:p w:rsidR="00501CE0" w:rsidRDefault="00501CE0" w:rsidP="00501CE0">
      <w:pPr>
        <w:pStyle w:val="af"/>
        <w:numPr>
          <w:ilvl w:val="0"/>
          <w:numId w:val="1"/>
        </w:numPr>
        <w:spacing w:after="0" w:line="360" w:lineRule="auto"/>
        <w:jc w:val="both"/>
        <w:rPr>
          <w:rFonts w:ascii="David" w:hAnsi="David" w:cs="David"/>
          <w:b/>
          <w:bCs/>
          <w:sz w:val="24"/>
          <w:szCs w:val="24"/>
          <w:rtl/>
        </w:rPr>
      </w:pPr>
      <w:r>
        <w:rPr>
          <w:rFonts w:ascii="David" w:hAnsi="David" w:cs="David"/>
          <w:b/>
          <w:bCs/>
          <w:sz w:val="24"/>
          <w:szCs w:val="24"/>
          <w:rtl/>
        </w:rPr>
        <w:t>סוגיית מצבו הכלכלי של האב הינה הטענה המרכזית עליה הסתמך האב – גם אם בצורה שונה בכתבי הטענות ובנימוקים שונים – להוכחת תביעתו.</w:t>
      </w:r>
    </w:p>
    <w:p w:rsidR="00501CE0" w:rsidRDefault="00501CE0" w:rsidP="00501CE0">
      <w:pPr>
        <w:pStyle w:val="af"/>
        <w:spacing w:after="0" w:line="360" w:lineRule="auto"/>
        <w:ind w:left="651"/>
        <w:jc w:val="both"/>
        <w:rPr>
          <w:rFonts w:ascii="David" w:hAnsi="David" w:cs="David"/>
          <w:b/>
          <w:bCs/>
          <w:sz w:val="24"/>
          <w:szCs w:val="24"/>
        </w:rPr>
      </w:pPr>
    </w:p>
    <w:p w:rsidR="00501CE0" w:rsidRDefault="00501CE0" w:rsidP="00501CE0">
      <w:pPr>
        <w:pStyle w:val="af"/>
        <w:numPr>
          <w:ilvl w:val="0"/>
          <w:numId w:val="1"/>
        </w:numPr>
        <w:spacing w:after="0" w:line="360" w:lineRule="auto"/>
        <w:jc w:val="both"/>
        <w:rPr>
          <w:rFonts w:ascii="David" w:hAnsi="David" w:cs="David"/>
          <w:sz w:val="24"/>
          <w:szCs w:val="24"/>
          <w:rtl/>
        </w:rPr>
      </w:pPr>
      <w:r>
        <w:rPr>
          <w:rFonts w:ascii="David" w:hAnsi="David" w:cs="David"/>
          <w:b/>
          <w:bCs/>
          <w:sz w:val="24"/>
          <w:szCs w:val="24"/>
          <w:rtl/>
        </w:rPr>
        <w:lastRenderedPageBreak/>
        <w:t>לטענת האיש</w:t>
      </w:r>
      <w:r>
        <w:rPr>
          <w:rFonts w:ascii="David" w:hAnsi="David" w:cs="David"/>
          <w:sz w:val="24"/>
          <w:szCs w:val="24"/>
          <w:rtl/>
        </w:rPr>
        <w:t xml:space="preserve"> בין הצדדים פערים כלכליים משמעותיים (לטובת האישה). לטענת האיש, האישה היא בת למשפחה מהעשירון העליון, שבבעלותה רשת מסעדות מצליחה ורווחיה נאמדים בעשרות מיליונים בשנה (ראו סעיף 19 לכתב התביעה). </w:t>
      </w:r>
      <w:r>
        <w:rPr>
          <w:rFonts w:ascii="David" w:hAnsi="David" w:cs="David"/>
          <w:b/>
          <w:bCs/>
          <w:sz w:val="24"/>
          <w:szCs w:val="24"/>
          <w:rtl/>
        </w:rPr>
        <w:t>לטענת האיש</w:t>
      </w:r>
      <w:r>
        <w:rPr>
          <w:rFonts w:ascii="David" w:hAnsi="David" w:cs="David"/>
          <w:sz w:val="24"/>
          <w:szCs w:val="24"/>
          <w:rtl/>
        </w:rPr>
        <w:t xml:space="preserve">, הכנסתה המדווחת של האישה עומדת ע"ס 7,000 ₪ לחודש ואולם בפועל הכנסותיה עומדת ע"ס  כ- 35,000 ₪  לחודש. האיש מציין כי רמת החיים שהנתבעת מנהלת מוכיחה באופן חד משמעי שאין כל קשר בין משכורתה המדווחת לבין התנהלותה הכלכלית ביום יום. </w:t>
      </w:r>
    </w:p>
    <w:p w:rsidR="00501CE0" w:rsidRDefault="00501CE0" w:rsidP="00501CE0">
      <w:pPr>
        <w:pStyle w:val="af"/>
        <w:spacing w:after="0" w:line="360" w:lineRule="auto"/>
        <w:ind w:left="567"/>
        <w:jc w:val="both"/>
        <w:rPr>
          <w:rFonts w:ascii="David" w:hAnsi="David" w:cs="David"/>
          <w:sz w:val="24"/>
          <w:szCs w:val="24"/>
        </w:rPr>
      </w:pPr>
      <w:r>
        <w:rPr>
          <w:rFonts w:ascii="David" w:hAnsi="David" w:cs="David"/>
          <w:b/>
          <w:bCs/>
          <w:sz w:val="24"/>
          <w:szCs w:val="24"/>
          <w:rtl/>
        </w:rPr>
        <w:t>לטענת האיש</w:t>
      </w:r>
      <w:r>
        <w:rPr>
          <w:rFonts w:ascii="David" w:hAnsi="David" w:cs="David"/>
          <w:sz w:val="24"/>
          <w:szCs w:val="24"/>
          <w:rtl/>
        </w:rPr>
        <w:t xml:space="preserve">, האישה עושה שימוש בעלים בג'יפ יוקרתי מסוג מרצדס, אשר עלותו מוערכת בכ- 300,000 ₪. </w:t>
      </w:r>
    </w:p>
    <w:p w:rsidR="00501CE0" w:rsidRDefault="00501CE0" w:rsidP="00501CE0">
      <w:pPr>
        <w:pStyle w:val="af"/>
        <w:rPr>
          <w:rFonts w:ascii="David" w:hAnsi="David" w:cs="David"/>
          <w:sz w:val="24"/>
          <w:szCs w:val="24"/>
        </w:rPr>
      </w:pPr>
    </w:p>
    <w:p w:rsidR="00501CE0" w:rsidRDefault="00501CE0" w:rsidP="00501CE0">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כפי שהודגש להלן נטל ההוכחה בעניין זה מוטל לפתחו של האיש בלבד. על האיש שמבקש להפחית מזונות, ואף לבטלם לחלוטין (ובכתב התביעה אף ביקש לחייב את האישה בתשלום מזונות הקטינה עבורו), לפעול בתום לב ולגלות את כל המידע והמסמכים הנדרש להוכחת טענתו כי אירע שינוי נסיבות מהותי. בית המשפט המחוזי הדגיש כפי שצוין לעיל כי על מי שמבקש להפחית מזונות, חלה חובה מוגברת לפעול בתום לב ולהציג את מלוא רכושו והכנסותיו. ראו: עמ"ש 17590-01-20 </w:t>
      </w:r>
      <w:r>
        <w:rPr>
          <w:rFonts w:ascii="Miriam" w:hAnsi="Miriam" w:cs="Miriam"/>
          <w:sz w:val="24"/>
          <w:szCs w:val="24"/>
          <w:rtl/>
        </w:rPr>
        <w:t>ר' נ' ר'</w:t>
      </w:r>
      <w:r>
        <w:rPr>
          <w:rFonts w:ascii="David" w:hAnsi="David" w:cs="David"/>
          <w:sz w:val="24"/>
          <w:szCs w:val="24"/>
          <w:rtl/>
        </w:rPr>
        <w:t xml:space="preserve"> (3.12.2020). </w:t>
      </w:r>
    </w:p>
    <w:p w:rsidR="009421DC" w:rsidRDefault="009421DC" w:rsidP="009421DC">
      <w:pPr>
        <w:pStyle w:val="af"/>
        <w:spacing w:after="0" w:line="360" w:lineRule="auto"/>
        <w:ind w:left="567"/>
        <w:jc w:val="both"/>
        <w:rPr>
          <w:rFonts w:ascii="David" w:hAnsi="David" w:cs="David"/>
          <w:b/>
          <w:bCs/>
          <w:sz w:val="24"/>
          <w:szCs w:val="24"/>
        </w:rPr>
      </w:pPr>
    </w:p>
    <w:p w:rsidR="00501CE0" w:rsidRDefault="00501CE0" w:rsidP="00501CE0">
      <w:pPr>
        <w:pStyle w:val="af"/>
        <w:numPr>
          <w:ilvl w:val="0"/>
          <w:numId w:val="1"/>
        </w:numPr>
        <w:spacing w:after="0" w:line="360" w:lineRule="auto"/>
        <w:jc w:val="both"/>
        <w:rPr>
          <w:rFonts w:ascii="David" w:hAnsi="David" w:cs="David"/>
          <w:b/>
          <w:bCs/>
          <w:sz w:val="24"/>
          <w:szCs w:val="24"/>
        </w:rPr>
      </w:pPr>
      <w:r>
        <w:rPr>
          <w:rFonts w:ascii="David" w:hAnsi="David" w:cs="David"/>
          <w:b/>
          <w:bCs/>
          <w:sz w:val="24"/>
          <w:szCs w:val="24"/>
          <w:rtl/>
        </w:rPr>
        <w:t xml:space="preserve">בענייננו עד לתום ההליך ועל אף ריבוי נתונים מסמכים לא ניתן היה לקבל תמונת מצב מלאה וברורה לגבי טענותיו של האיש לגבי מצבו הכלכלי. יתרה מכך, האיש נמנע עד תום ההליך מהצגת נתונים בהירים אודות חברת עו"ד שבבעלותו, הנדרשים ומסודרים להוכחת טענותיו. לא מן הנמנע כי אם היה מציג את מלוא הנתונים נאמנה, ייתכן והיה נמצא כי תביעתו מוצדקת. </w:t>
      </w:r>
    </w:p>
    <w:p w:rsidR="00501CE0" w:rsidRDefault="00501CE0" w:rsidP="00501CE0">
      <w:pPr>
        <w:pStyle w:val="af"/>
        <w:spacing w:after="0" w:line="360" w:lineRule="auto"/>
        <w:ind w:left="567"/>
        <w:jc w:val="both"/>
        <w:rPr>
          <w:rFonts w:ascii="David" w:hAnsi="David" w:cs="David"/>
          <w:b/>
          <w:bCs/>
          <w:sz w:val="24"/>
          <w:szCs w:val="24"/>
        </w:rPr>
      </w:pPr>
    </w:p>
    <w:p w:rsidR="00501CE0" w:rsidRDefault="00501CE0" w:rsidP="00501CE0">
      <w:pPr>
        <w:pStyle w:val="af"/>
        <w:numPr>
          <w:ilvl w:val="0"/>
          <w:numId w:val="1"/>
        </w:numPr>
        <w:spacing w:after="0" w:line="360" w:lineRule="auto"/>
        <w:jc w:val="both"/>
        <w:rPr>
          <w:rFonts w:ascii="David" w:hAnsi="David" w:cs="David"/>
          <w:b/>
          <w:bCs/>
          <w:sz w:val="24"/>
          <w:szCs w:val="24"/>
        </w:rPr>
      </w:pPr>
      <w:r>
        <w:rPr>
          <w:rFonts w:ascii="David" w:hAnsi="David" w:cs="David"/>
          <w:b/>
          <w:bCs/>
          <w:sz w:val="24"/>
          <w:szCs w:val="24"/>
          <w:rtl/>
        </w:rPr>
        <w:t xml:space="preserve">יתרה מכך – וזה העיקר – הטענות לגבי ההבדלים הכלכליים בין הצדדים והטענה לגבי מצבה הכלכלי של </w:t>
      </w:r>
      <w:r>
        <w:rPr>
          <w:rFonts w:ascii="David" w:hAnsi="David" w:cs="David"/>
          <w:b/>
          <w:bCs/>
          <w:sz w:val="24"/>
          <w:szCs w:val="24"/>
          <w:u w:val="single"/>
          <w:rtl/>
        </w:rPr>
        <w:t>משפחתה</w:t>
      </w:r>
      <w:r>
        <w:rPr>
          <w:rFonts w:ascii="David" w:hAnsi="David" w:cs="David"/>
          <w:b/>
          <w:bCs/>
          <w:sz w:val="24"/>
          <w:szCs w:val="24"/>
          <w:rtl/>
        </w:rPr>
        <w:t xml:space="preserve"> של האישה, אין בהן חדש כלל והן היו גם בעת החתימה על ההסכם. אין מדובר באישה שהתעשרה במפתיע או שהתגלו לגביה נסיבות חדשות. על כן הנטל הוא אף כפול מאחר והדברים היו </w:t>
      </w:r>
      <w:r>
        <w:rPr>
          <w:rFonts w:ascii="David" w:hAnsi="David" w:cs="David"/>
          <w:b/>
          <w:bCs/>
          <w:sz w:val="24"/>
          <w:szCs w:val="24"/>
          <w:u w:val="single"/>
          <w:rtl/>
        </w:rPr>
        <w:t>ידועים לאב</w:t>
      </w:r>
      <w:r>
        <w:rPr>
          <w:rFonts w:ascii="David" w:hAnsi="David" w:cs="David"/>
          <w:b/>
          <w:bCs/>
          <w:sz w:val="24"/>
          <w:szCs w:val="24"/>
          <w:rtl/>
        </w:rPr>
        <w:t xml:space="preserve">. </w:t>
      </w:r>
    </w:p>
    <w:p w:rsidR="00501CE0" w:rsidRDefault="00501CE0" w:rsidP="00501CE0">
      <w:pPr>
        <w:pStyle w:val="af"/>
        <w:rPr>
          <w:rFonts w:ascii="David" w:hAnsi="David" w:cs="David"/>
          <w:b/>
          <w:bCs/>
          <w:sz w:val="24"/>
          <w:szCs w:val="24"/>
        </w:rPr>
      </w:pPr>
    </w:p>
    <w:p w:rsidR="00501CE0" w:rsidRDefault="00501CE0" w:rsidP="00501CE0">
      <w:pPr>
        <w:pStyle w:val="af"/>
        <w:numPr>
          <w:ilvl w:val="0"/>
          <w:numId w:val="1"/>
        </w:numPr>
        <w:spacing w:after="0" w:line="360" w:lineRule="auto"/>
        <w:jc w:val="both"/>
        <w:rPr>
          <w:rFonts w:ascii="David" w:hAnsi="David" w:cs="David"/>
          <w:b/>
          <w:bCs/>
          <w:sz w:val="24"/>
          <w:szCs w:val="24"/>
          <w:rtl/>
        </w:rPr>
      </w:pPr>
      <w:r>
        <w:rPr>
          <w:rFonts w:ascii="David" w:hAnsi="David" w:cs="David"/>
          <w:b/>
          <w:bCs/>
          <w:sz w:val="24"/>
          <w:szCs w:val="24"/>
          <w:rtl/>
        </w:rPr>
        <w:t xml:space="preserve">כמו כן האיש לא התמודד עם העובדה כי עושרה של משפחתה של האם אינו בהכרח עושרה שלה. הסתמכותה על עזרה מהוריה בוודאי אינה עילה לביטול המזונות, ייתכן כי היא אף נימוק להותרת המצב על כנו. </w:t>
      </w:r>
    </w:p>
    <w:p w:rsidR="00501CE0" w:rsidRDefault="00501CE0" w:rsidP="00501CE0">
      <w:pPr>
        <w:pStyle w:val="af"/>
        <w:rPr>
          <w:rFonts w:ascii="David" w:hAnsi="David" w:cs="David"/>
          <w:sz w:val="24"/>
          <w:szCs w:val="24"/>
        </w:rPr>
      </w:pPr>
    </w:p>
    <w:p w:rsidR="00501CE0" w:rsidRDefault="00501CE0" w:rsidP="00501CE0">
      <w:pPr>
        <w:pStyle w:val="af"/>
        <w:numPr>
          <w:ilvl w:val="0"/>
          <w:numId w:val="1"/>
        </w:numPr>
        <w:spacing w:after="0" w:line="360" w:lineRule="auto"/>
        <w:jc w:val="both"/>
        <w:rPr>
          <w:rFonts w:ascii="David" w:hAnsi="David" w:cs="David"/>
          <w:sz w:val="24"/>
          <w:szCs w:val="24"/>
          <w:rtl/>
        </w:rPr>
      </w:pPr>
      <w:r>
        <w:rPr>
          <w:rFonts w:ascii="David" w:hAnsi="David" w:cs="David"/>
          <w:b/>
          <w:bCs/>
          <w:sz w:val="24"/>
          <w:szCs w:val="24"/>
          <w:rtl/>
        </w:rPr>
        <w:t xml:space="preserve">בכתב התביעה </w:t>
      </w:r>
      <w:r>
        <w:rPr>
          <w:rFonts w:ascii="David" w:hAnsi="David" w:cs="David"/>
          <w:sz w:val="24"/>
          <w:szCs w:val="24"/>
          <w:rtl/>
        </w:rPr>
        <w:t xml:space="preserve">נטען על ידי האיש כי הוא עובד כעו"ד עצמאי ובעל מניות בחברת עורכי דין ושכרו מוערך כ – 11,500 ₪  נטו לחודש. בנוסף טען האיש כי יש לו הכנסה פנויה מדירתו המושכרת ולאחר ניכוי הוצאות המשכנתא ותחזוקה בסך של 5,500 ₪ בחודש, כך שסה"כ הכנסות החודשית הממוצעת היא כ – 17,000 ₪ נטו בחודש. </w:t>
      </w:r>
    </w:p>
    <w:p w:rsidR="00501CE0" w:rsidRDefault="00501CE0" w:rsidP="00501CE0">
      <w:pPr>
        <w:pStyle w:val="af"/>
        <w:numPr>
          <w:ilvl w:val="0"/>
          <w:numId w:val="1"/>
        </w:numPr>
        <w:spacing w:after="0" w:line="360" w:lineRule="auto"/>
        <w:jc w:val="both"/>
        <w:rPr>
          <w:rFonts w:ascii="David" w:hAnsi="David" w:cs="David"/>
          <w:sz w:val="24"/>
          <w:szCs w:val="24"/>
          <w:rtl/>
        </w:rPr>
      </w:pPr>
      <w:r>
        <w:rPr>
          <w:rFonts w:ascii="David" w:hAnsi="David" w:cs="David"/>
          <w:b/>
          <w:bCs/>
          <w:sz w:val="24"/>
          <w:szCs w:val="24"/>
          <w:rtl/>
        </w:rPr>
        <w:lastRenderedPageBreak/>
        <w:t>לטענת האיש</w:t>
      </w:r>
      <w:r>
        <w:rPr>
          <w:rFonts w:ascii="David" w:hAnsi="David" w:cs="David"/>
          <w:sz w:val="24"/>
          <w:szCs w:val="24"/>
          <w:rtl/>
        </w:rPr>
        <w:t>, הוא מתגורר יחד עם הקטינה בשכירות, בדירת 3 חדרים ברח' אוסישקין בתל אביב כאשר שכר דירה הוא כ- 7,400 ₪ בחודש ולכך יש להוסיף הוצאות אחזקת הבית בסך של 1,500 ₪ לחודש.</w:t>
      </w:r>
    </w:p>
    <w:p w:rsidR="00501CE0" w:rsidRDefault="00501CE0" w:rsidP="00501CE0">
      <w:pPr>
        <w:pStyle w:val="af"/>
        <w:rPr>
          <w:rFonts w:ascii="David" w:hAnsi="David" w:cs="David"/>
          <w:sz w:val="24"/>
          <w:szCs w:val="24"/>
        </w:rPr>
      </w:pPr>
    </w:p>
    <w:p w:rsidR="00501CE0" w:rsidRDefault="00501CE0" w:rsidP="00501CE0">
      <w:pPr>
        <w:pStyle w:val="af"/>
        <w:numPr>
          <w:ilvl w:val="0"/>
          <w:numId w:val="1"/>
        </w:numPr>
        <w:spacing w:after="0" w:line="360" w:lineRule="auto"/>
        <w:jc w:val="both"/>
        <w:rPr>
          <w:rFonts w:ascii="David" w:hAnsi="David" w:cs="David"/>
          <w:sz w:val="24"/>
          <w:szCs w:val="24"/>
          <w:rtl/>
        </w:rPr>
      </w:pPr>
      <w:r>
        <w:rPr>
          <w:rFonts w:ascii="David" w:hAnsi="David" w:cs="David"/>
          <w:b/>
          <w:bCs/>
          <w:sz w:val="24"/>
          <w:szCs w:val="24"/>
          <w:rtl/>
        </w:rPr>
        <w:t>לטענת האיש</w:t>
      </w:r>
      <w:r>
        <w:rPr>
          <w:rFonts w:ascii="David" w:hAnsi="David" w:cs="David"/>
          <w:sz w:val="24"/>
          <w:szCs w:val="24"/>
          <w:rtl/>
        </w:rPr>
        <w:t xml:space="preserve">, הוא בעלים של רכב מסוג מרצדס שנרכשה בהלוואה וההחזר החודשי מגיע לסך של 1,650 ₪. </w:t>
      </w:r>
    </w:p>
    <w:p w:rsidR="00501CE0" w:rsidRDefault="00501CE0" w:rsidP="00501CE0">
      <w:pPr>
        <w:pStyle w:val="af"/>
        <w:rPr>
          <w:rFonts w:ascii="David" w:hAnsi="David" w:cs="David"/>
          <w:sz w:val="24"/>
          <w:szCs w:val="24"/>
        </w:rPr>
      </w:pPr>
    </w:p>
    <w:p w:rsidR="00501CE0" w:rsidRDefault="00501CE0" w:rsidP="00501CE0">
      <w:pPr>
        <w:pStyle w:val="af"/>
        <w:numPr>
          <w:ilvl w:val="0"/>
          <w:numId w:val="1"/>
        </w:numPr>
        <w:spacing w:after="0" w:line="360" w:lineRule="auto"/>
        <w:jc w:val="both"/>
        <w:rPr>
          <w:rFonts w:ascii="David" w:hAnsi="David" w:cs="David"/>
          <w:sz w:val="24"/>
          <w:szCs w:val="24"/>
          <w:rtl/>
        </w:rPr>
      </w:pPr>
      <w:r>
        <w:rPr>
          <w:rFonts w:ascii="David" w:hAnsi="David" w:cs="David"/>
          <w:b/>
          <w:bCs/>
          <w:sz w:val="24"/>
          <w:szCs w:val="24"/>
          <w:rtl/>
        </w:rPr>
        <w:t>לטענת האיש</w:t>
      </w:r>
      <w:r>
        <w:rPr>
          <w:rFonts w:ascii="David" w:hAnsi="David" w:cs="David"/>
          <w:sz w:val="24"/>
          <w:szCs w:val="24"/>
          <w:rtl/>
        </w:rPr>
        <w:t xml:space="preserve">, יש לו התחייבויות והלוואות בהיקף של כ - 60,000 ₪ כאשר ההחזר החודשי עומד ע"ס כ – 1,000 ₪. </w:t>
      </w:r>
    </w:p>
    <w:p w:rsidR="00501CE0" w:rsidRDefault="00501CE0" w:rsidP="00501CE0">
      <w:pPr>
        <w:pStyle w:val="af"/>
        <w:rPr>
          <w:rFonts w:ascii="David" w:hAnsi="David" w:cs="David"/>
          <w:sz w:val="24"/>
          <w:szCs w:val="24"/>
        </w:rPr>
      </w:pPr>
    </w:p>
    <w:p w:rsidR="00501CE0" w:rsidRDefault="00501CE0" w:rsidP="00501CE0">
      <w:pPr>
        <w:pStyle w:val="af"/>
        <w:numPr>
          <w:ilvl w:val="0"/>
          <w:numId w:val="1"/>
        </w:numPr>
        <w:spacing w:after="0" w:line="360" w:lineRule="auto"/>
        <w:jc w:val="both"/>
        <w:rPr>
          <w:rFonts w:ascii="David" w:hAnsi="David" w:cs="David"/>
          <w:sz w:val="24"/>
          <w:szCs w:val="24"/>
          <w:rtl/>
        </w:rPr>
      </w:pPr>
      <w:r>
        <w:rPr>
          <w:rFonts w:ascii="David" w:hAnsi="David" w:cs="David"/>
          <w:b/>
          <w:bCs/>
          <w:sz w:val="24"/>
          <w:szCs w:val="24"/>
          <w:rtl/>
        </w:rPr>
        <w:t>גם למסמכים שצירף האב במסגרת כתב התביעה</w:t>
      </w:r>
      <w:r>
        <w:rPr>
          <w:rFonts w:ascii="David" w:hAnsi="David" w:cs="David"/>
          <w:sz w:val="24"/>
          <w:szCs w:val="24"/>
          <w:rtl/>
        </w:rPr>
        <w:t xml:space="preserve">– לאחר דיון קד"מ, שהתקיים ביום 30.6.2020, בו הובהר מפורשות מה נדרש לצרף להוכחות –לא צירף פרטי הכנסה מלאים אודות חברת עו"ד </w:t>
      </w:r>
      <w:r>
        <w:rPr>
          <w:rFonts w:ascii="David" w:hAnsi="David" w:cs="David"/>
          <w:sz w:val="24"/>
          <w:szCs w:val="24"/>
          <w:u w:val="single"/>
          <w:rtl/>
        </w:rPr>
        <w:t>שבבעלותו,</w:t>
      </w:r>
      <w:r>
        <w:rPr>
          <w:rFonts w:ascii="David" w:hAnsi="David" w:cs="David"/>
          <w:sz w:val="24"/>
          <w:szCs w:val="24"/>
          <w:rtl/>
        </w:rPr>
        <w:t xml:space="preserve"> ולא ציין  בצורה ברורה ונהירה מה </w:t>
      </w:r>
      <w:r>
        <w:rPr>
          <w:rFonts w:ascii="Miriam" w:hAnsi="Miriam" w:cs="Miriam"/>
          <w:sz w:val="24"/>
          <w:szCs w:val="24"/>
          <w:rtl/>
        </w:rPr>
        <w:t>שינוי</w:t>
      </w:r>
      <w:r>
        <w:rPr>
          <w:rFonts w:ascii="David" w:hAnsi="David" w:cs="David"/>
          <w:sz w:val="24"/>
          <w:szCs w:val="24"/>
          <w:rtl/>
        </w:rPr>
        <w:t xml:space="preserve"> הנסיבות המתייחס להכנסתו.</w:t>
      </w:r>
    </w:p>
    <w:p w:rsidR="00501CE0" w:rsidRDefault="00501CE0" w:rsidP="00501CE0">
      <w:pPr>
        <w:pStyle w:val="af"/>
        <w:rPr>
          <w:rFonts w:ascii="David" w:hAnsi="David" w:cs="David"/>
          <w:sz w:val="24"/>
          <w:szCs w:val="24"/>
        </w:rPr>
      </w:pPr>
    </w:p>
    <w:p w:rsidR="00501CE0" w:rsidRDefault="00501CE0" w:rsidP="00501CE0">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ואשוב ואחדד  - לא די לטעון כי נכון להיום סכום המזונות שנקבע אינו מתאים/הוגן/ראוי אלא יש להראות שינוי נסיבות יחסית למועד פסק הדין. זאת לא עשה האיש בצורה מספקת. </w:t>
      </w:r>
    </w:p>
    <w:p w:rsidR="00501CE0" w:rsidRDefault="00501CE0" w:rsidP="00501CE0">
      <w:pPr>
        <w:pStyle w:val="af"/>
        <w:spacing w:line="360" w:lineRule="auto"/>
        <w:ind w:left="567"/>
        <w:jc w:val="both"/>
        <w:rPr>
          <w:rFonts w:ascii="David" w:hAnsi="David" w:cs="David"/>
          <w:b/>
          <w:bCs/>
          <w:sz w:val="24"/>
          <w:szCs w:val="24"/>
          <w:rtl/>
        </w:rPr>
      </w:pPr>
    </w:p>
    <w:p w:rsidR="00501CE0" w:rsidRDefault="00501CE0" w:rsidP="00501CE0">
      <w:pPr>
        <w:pStyle w:val="af"/>
        <w:numPr>
          <w:ilvl w:val="0"/>
          <w:numId w:val="1"/>
        </w:numPr>
        <w:spacing w:after="0" w:line="360" w:lineRule="auto"/>
        <w:jc w:val="both"/>
        <w:rPr>
          <w:rFonts w:ascii="David" w:hAnsi="David" w:cs="David"/>
          <w:sz w:val="24"/>
          <w:szCs w:val="24"/>
        </w:rPr>
      </w:pPr>
      <w:r>
        <w:rPr>
          <w:rFonts w:ascii="David" w:hAnsi="David" w:cs="David"/>
          <w:sz w:val="24"/>
          <w:szCs w:val="24"/>
          <w:rtl/>
        </w:rPr>
        <w:t>האב צירף לכתב התביעה (נספח 5) אישור רואה חשבון מיום 16.01.2020 לפיו האיש מעסיק בחברה (מלבדו) עוד 4 עובדים ויש רווח נקי לחברה, אולם למעט ציון של הלוואת בעלים לא פורטו נתונים בסיסיים שניתן היה לצרפם ולציינם בנקל לגבי הכנסותיו של האיש ומצבו הכלכלי. הדברים מקבלים משנה תוקף שעה שרו"ח הוא רו"ח האישי של האיש וגם של החברה, כך שקבלת הנתונים והצגתם יכולה הייתה להיות בנקל:</w:t>
      </w:r>
    </w:p>
    <w:p w:rsidR="00501CE0" w:rsidRDefault="00501CE0" w:rsidP="00501CE0">
      <w:pPr>
        <w:pStyle w:val="af"/>
        <w:rPr>
          <w:rFonts w:ascii="David" w:hAnsi="David" w:cs="David"/>
          <w:sz w:val="24"/>
          <w:szCs w:val="24"/>
        </w:rPr>
      </w:pPr>
    </w:p>
    <w:p w:rsidR="00501CE0" w:rsidRDefault="004A67A1" w:rsidP="00501CE0">
      <w:pPr>
        <w:pStyle w:val="af"/>
        <w:spacing w:after="0" w:line="360" w:lineRule="auto"/>
        <w:ind w:left="567"/>
        <w:jc w:val="both"/>
        <w:rPr>
          <w:rFonts w:ascii="David" w:hAnsi="David" w:cs="David"/>
          <w:sz w:val="24"/>
          <w:szCs w:val="24"/>
          <w:rtl/>
        </w:rPr>
      </w:pPr>
      <w:r>
        <w:rPr>
          <w:rFonts w:ascii="David" w:hAnsi="David" w:cs="David"/>
          <w:noProof/>
          <w:sz w:val="24"/>
          <w:szCs w:val="24"/>
        </w:rPr>
        <w:drawing>
          <wp:inline distT="0" distB="0" distL="0" distR="0">
            <wp:extent cx="3506470" cy="2520315"/>
            <wp:effectExtent l="0" t="0" r="0" b="0"/>
            <wp:docPr id="8" name="תמונה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06470" cy="2520315"/>
                    </a:xfrm>
                    <a:prstGeom prst="rect">
                      <a:avLst/>
                    </a:prstGeom>
                    <a:noFill/>
                    <a:ln>
                      <a:noFill/>
                    </a:ln>
                  </pic:spPr>
                </pic:pic>
              </a:graphicData>
            </a:graphic>
          </wp:inline>
        </w:drawing>
      </w:r>
    </w:p>
    <w:p w:rsidR="00501CE0" w:rsidRDefault="00501CE0" w:rsidP="00501CE0">
      <w:pPr>
        <w:pStyle w:val="af"/>
        <w:spacing w:line="360" w:lineRule="auto"/>
        <w:ind w:left="1647"/>
        <w:jc w:val="both"/>
        <w:rPr>
          <w:rFonts w:ascii="David" w:hAnsi="David" w:cs="David"/>
          <w:sz w:val="24"/>
          <w:szCs w:val="24"/>
        </w:rPr>
      </w:pPr>
    </w:p>
    <w:p w:rsidR="00501CE0" w:rsidRDefault="00501CE0" w:rsidP="00501CE0">
      <w:pPr>
        <w:pStyle w:val="af"/>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 xml:space="preserve">האיש לא צירף דפי חשבון בנק בו מתנהלת החברה ומה הכנסותיה. לא צורף דו"ח כספי כולל ומפורט. האיש לא צירף פרטים אישיים לגביו באופן מספק. הוא גם לא הוכיח מה היה מצבו לאשורו בעת פסק הדין ומה מצבו עתה. ניכר דווקא מעדותו כי הוא מכיר בכך שמצבו הכלכלי השתפר משמעותית מעת שנחתם ההסכם. אולם הוא חש כי כעת בהבדלים בין הצדדים אין זה צודק כי יישא במזונות הקטינה. לא די בנימוק זה על מנת להורות על ביטול פסק הדין. יש להראות מה הייתה נקודת המוצא בהסכם ומה היה השינוי עת הוגשה התביעה. </w:t>
      </w:r>
    </w:p>
    <w:p w:rsidR="00501CE0" w:rsidRDefault="00501CE0" w:rsidP="00501CE0">
      <w:pPr>
        <w:pStyle w:val="af"/>
        <w:spacing w:line="360" w:lineRule="auto"/>
        <w:ind w:left="567"/>
        <w:jc w:val="both"/>
        <w:rPr>
          <w:rFonts w:ascii="David" w:hAnsi="David" w:cs="David"/>
          <w:sz w:val="24"/>
          <w:szCs w:val="24"/>
        </w:rPr>
      </w:pPr>
    </w:p>
    <w:p w:rsidR="00501CE0" w:rsidRDefault="00501CE0" w:rsidP="00501CE0">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האב צירף לכתב התביעה (נספח 9) חוזה שכירות מיום 13.9.2017, לפיו האב נושא בדמי שכירות בסך 7,400 ₪ לחודש.</w:t>
      </w:r>
    </w:p>
    <w:p w:rsidR="00501CE0" w:rsidRDefault="00501CE0" w:rsidP="00501CE0">
      <w:pPr>
        <w:pStyle w:val="af"/>
        <w:rPr>
          <w:rFonts w:ascii="David" w:hAnsi="David" w:cs="David"/>
          <w:sz w:val="24"/>
          <w:szCs w:val="24"/>
          <w:rtl/>
        </w:rPr>
      </w:pPr>
    </w:p>
    <w:p w:rsidR="00501CE0" w:rsidRDefault="00501CE0" w:rsidP="00501CE0">
      <w:pPr>
        <w:pStyle w:val="af"/>
        <w:numPr>
          <w:ilvl w:val="0"/>
          <w:numId w:val="1"/>
        </w:numPr>
        <w:spacing w:after="0" w:line="360" w:lineRule="auto"/>
        <w:jc w:val="both"/>
        <w:rPr>
          <w:rFonts w:ascii="David" w:hAnsi="David" w:cs="David"/>
          <w:sz w:val="24"/>
          <w:szCs w:val="24"/>
        </w:rPr>
      </w:pPr>
      <w:r>
        <w:rPr>
          <w:rFonts w:ascii="David" w:hAnsi="David" w:cs="David"/>
          <w:sz w:val="24"/>
          <w:szCs w:val="24"/>
          <w:rtl/>
        </w:rPr>
        <w:t xml:space="preserve">על האב להוכיח שחלה ירידה בהכנסותיו אל מול הכנסתו בעת מתן פסק הדין. זאת הוא לא עשה והרושם שעולה מחקירתו ומסיכומיו כי הוא מבין בהגינותו כי מצבו דווקא השתפר מעת שנחתם ההסכם. </w:t>
      </w:r>
    </w:p>
    <w:p w:rsidR="00501CE0" w:rsidRDefault="00501CE0" w:rsidP="00501CE0">
      <w:pPr>
        <w:pStyle w:val="af"/>
        <w:rPr>
          <w:rFonts w:ascii="David" w:hAnsi="David" w:cs="David"/>
          <w:sz w:val="24"/>
          <w:szCs w:val="24"/>
        </w:rPr>
      </w:pPr>
    </w:p>
    <w:p w:rsidR="00501CE0" w:rsidRDefault="00501CE0" w:rsidP="00501CE0">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בחינת פירוט דפי החשבון שצירף האיש על מנת לאמוד את הכנסותיו בשנים האחרונות בהשוואה להכנסה לה טוען האב בסמוך להסכם מעלה שמדובר בהכנסה הדומה לזו הנטענת בכתב התביעה נשוא פסק הדין – קרי סך של 10,250 ₪ נטו בחודש.</w:t>
      </w:r>
    </w:p>
    <w:p w:rsidR="00501CE0" w:rsidRDefault="00501CE0" w:rsidP="00501CE0">
      <w:pPr>
        <w:pStyle w:val="af"/>
        <w:rPr>
          <w:rFonts w:ascii="David" w:hAnsi="David" w:cs="David"/>
          <w:sz w:val="24"/>
          <w:szCs w:val="24"/>
          <w:rtl/>
        </w:rPr>
      </w:pPr>
    </w:p>
    <w:p w:rsidR="00501CE0" w:rsidRDefault="00501CE0" w:rsidP="00B323BB">
      <w:pPr>
        <w:pStyle w:val="af"/>
        <w:numPr>
          <w:ilvl w:val="0"/>
          <w:numId w:val="1"/>
        </w:numPr>
        <w:spacing w:after="0" w:line="360" w:lineRule="auto"/>
        <w:jc w:val="both"/>
        <w:rPr>
          <w:rFonts w:ascii="David" w:hAnsi="David" w:cs="David"/>
          <w:sz w:val="24"/>
          <w:szCs w:val="24"/>
        </w:rPr>
      </w:pPr>
      <w:r>
        <w:rPr>
          <w:rFonts w:ascii="David" w:hAnsi="David" w:cs="David"/>
          <w:sz w:val="24"/>
          <w:szCs w:val="24"/>
          <w:rtl/>
        </w:rPr>
        <w:t xml:space="preserve">האיש צירף דפי תנועות עו"ש של חשבון בנק המתנהל בבנק </w:t>
      </w:r>
      <w:r w:rsidR="00257B8B">
        <w:rPr>
          <w:rFonts w:ascii="David" w:hAnsi="David" w:cs="David" w:hint="cs"/>
          <w:sz w:val="24"/>
          <w:szCs w:val="24"/>
          <w:rtl/>
        </w:rPr>
        <w:t>***</w:t>
      </w:r>
      <w:r w:rsidR="00257B8B">
        <w:rPr>
          <w:rFonts w:ascii="David" w:hAnsi="David" w:cs="David"/>
          <w:sz w:val="24"/>
          <w:szCs w:val="24"/>
          <w:rtl/>
        </w:rPr>
        <w:t xml:space="preserve"> </w:t>
      </w:r>
      <w:r>
        <w:rPr>
          <w:rFonts w:ascii="David" w:hAnsi="David" w:cs="David"/>
          <w:sz w:val="24"/>
          <w:szCs w:val="24"/>
          <w:rtl/>
        </w:rPr>
        <w:t xml:space="preserve">(נספח 3 לתצהיר הרצאת פרטים) לחודשים 09/2019-08/2020 בחשבון שמספרו </w:t>
      </w:r>
      <w:r w:rsidR="007926FD">
        <w:rPr>
          <w:rFonts w:ascii="David" w:hAnsi="David" w:cs="David" w:hint="cs"/>
          <w:sz w:val="24"/>
          <w:szCs w:val="24"/>
          <w:rtl/>
        </w:rPr>
        <w:t>***</w:t>
      </w:r>
      <w:r>
        <w:rPr>
          <w:rFonts w:ascii="David" w:hAnsi="David" w:cs="David"/>
          <w:sz w:val="24"/>
          <w:szCs w:val="24"/>
          <w:rtl/>
        </w:rPr>
        <w:t xml:space="preserve">. עיון בתנועות חשבון שצורפו מעלה כי לאיש הכנסות בגין הפקדות שיקים והעברות כספים. יוער כי ישנה העברה  קבועה לחשבון האיש ע"ס 15,500 מידי חודש בחודשו ובנוסף לכך ישנן הפקדות </w:t>
      </w:r>
      <w:r>
        <w:rPr>
          <w:rFonts w:ascii="David" w:hAnsi="David" w:cs="David"/>
          <w:sz w:val="24"/>
          <w:szCs w:val="24"/>
          <w:u w:val="single"/>
          <w:rtl/>
        </w:rPr>
        <w:t>נוספות</w:t>
      </w:r>
      <w:r>
        <w:rPr>
          <w:rFonts w:ascii="David" w:hAnsi="David" w:cs="David"/>
          <w:sz w:val="24"/>
          <w:szCs w:val="24"/>
          <w:rtl/>
        </w:rPr>
        <w:t>.</w:t>
      </w:r>
    </w:p>
    <w:p w:rsidR="00501CE0" w:rsidRDefault="00501CE0" w:rsidP="00501CE0">
      <w:pPr>
        <w:pStyle w:val="af"/>
        <w:rPr>
          <w:rFonts w:ascii="David" w:hAnsi="David" w:cs="David"/>
          <w:sz w:val="24"/>
          <w:szCs w:val="24"/>
        </w:rPr>
      </w:pPr>
    </w:p>
    <w:p w:rsidR="00501CE0" w:rsidRDefault="00501CE0" w:rsidP="00501CE0">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בחקירתו העיד האיש כי שכרו מועבר לחשבונו ע"ס 15,000 ₪ לחודש הכולל שכר ע"ס 11,500 ₪ ובנוסף הלוואה ע"ס 3,500 שנוטל מהחברה שבבעלותו (ראו פרוטוקול דיון מיום 23.11.2020 עמ' 12 שו' 10-19). </w:t>
      </w:r>
    </w:p>
    <w:p w:rsidR="00501CE0" w:rsidRDefault="00501CE0" w:rsidP="00501CE0">
      <w:pPr>
        <w:pStyle w:val="af"/>
        <w:rPr>
          <w:rFonts w:ascii="David" w:hAnsi="David" w:cs="David"/>
          <w:b/>
          <w:bCs/>
          <w:sz w:val="24"/>
          <w:szCs w:val="24"/>
        </w:rPr>
      </w:pPr>
    </w:p>
    <w:p w:rsidR="00501CE0" w:rsidRDefault="00501CE0" w:rsidP="00501CE0">
      <w:pPr>
        <w:pStyle w:val="af"/>
        <w:numPr>
          <w:ilvl w:val="0"/>
          <w:numId w:val="1"/>
        </w:numPr>
        <w:spacing w:after="0" w:line="360" w:lineRule="auto"/>
        <w:jc w:val="both"/>
        <w:rPr>
          <w:rFonts w:ascii="David" w:hAnsi="David" w:cs="David"/>
          <w:b/>
          <w:bCs/>
          <w:sz w:val="24"/>
          <w:szCs w:val="24"/>
          <w:rtl/>
        </w:rPr>
      </w:pPr>
      <w:r>
        <w:rPr>
          <w:rFonts w:ascii="David" w:hAnsi="David" w:cs="David"/>
          <w:b/>
          <w:bCs/>
          <w:sz w:val="24"/>
          <w:szCs w:val="24"/>
          <w:u w:val="single"/>
          <w:rtl/>
        </w:rPr>
        <w:t>דפי החשבון מציגים הכנסות גבוהות משמעותית מגובה ההכנסות להן טוען האב</w:t>
      </w:r>
      <w:r>
        <w:rPr>
          <w:rFonts w:ascii="David" w:hAnsi="David" w:cs="David"/>
          <w:b/>
          <w:bCs/>
          <w:sz w:val="24"/>
          <w:szCs w:val="24"/>
          <w:rtl/>
        </w:rPr>
        <w:t xml:space="preserve">. בניגוד לטענות האב הכנסותיו ממועד פסק הדין - גדלו. האב לא נתן הסבר מניח את הדעת לסכומים הגבוהים שהופקדו בחשבונו, לרבות הפקדות שיקים מעת לעת. על אף שהאב הציג יתרה שלילית בחשבון הבנק הפרטי שצירף, לאב הכנסות גבוהות כפי שפורט והוא לא נתן להן הסבר מניח את הדעת. </w:t>
      </w:r>
    </w:p>
    <w:p w:rsidR="00501CE0" w:rsidRDefault="00501CE0" w:rsidP="00501CE0">
      <w:pPr>
        <w:pStyle w:val="af"/>
        <w:rPr>
          <w:rFonts w:ascii="David" w:hAnsi="David" w:cs="David"/>
          <w:sz w:val="24"/>
          <w:szCs w:val="24"/>
          <w:rtl/>
        </w:rPr>
      </w:pPr>
    </w:p>
    <w:p w:rsidR="00501CE0" w:rsidRDefault="00501CE0" w:rsidP="00501CE0">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האב צירף לתצהיר הרצאת פרטים עדכנית דפי תנועות חשבון לחודשים 09/2019-08/2020 (נספח 3). עיון בדפי החשבון מעלה את הנתונים הבאים לגבי ההכנסות בחודשים הבאים:</w:t>
      </w:r>
    </w:p>
    <w:p w:rsidR="00501CE0" w:rsidRDefault="00501CE0" w:rsidP="00501CE0">
      <w:pPr>
        <w:pStyle w:val="af"/>
        <w:spacing w:line="360" w:lineRule="auto"/>
        <w:ind w:left="567"/>
        <w:jc w:val="both"/>
        <w:rPr>
          <w:rFonts w:ascii="David" w:hAnsi="David" w:cs="David"/>
          <w:sz w:val="24"/>
          <w:szCs w:val="24"/>
        </w:rPr>
      </w:pPr>
      <w:r>
        <w:rPr>
          <w:rFonts w:ascii="David" w:hAnsi="David" w:cs="David"/>
          <w:sz w:val="24"/>
          <w:szCs w:val="24"/>
          <w:rtl/>
        </w:rPr>
        <w:t xml:space="preserve">בחודש 09/2019 הופקד בחשבון האיש 27,629.61 ₪ </w:t>
      </w:r>
    </w:p>
    <w:p w:rsidR="00501CE0" w:rsidRDefault="00501CE0" w:rsidP="00501CE0">
      <w:pPr>
        <w:pStyle w:val="af"/>
        <w:spacing w:line="360" w:lineRule="auto"/>
        <w:ind w:left="567"/>
        <w:jc w:val="both"/>
        <w:rPr>
          <w:rFonts w:ascii="David" w:hAnsi="David" w:cs="David"/>
          <w:sz w:val="24"/>
          <w:szCs w:val="24"/>
          <w:rtl/>
        </w:rPr>
      </w:pPr>
      <w:r>
        <w:rPr>
          <w:rFonts w:ascii="David" w:hAnsi="David" w:cs="David"/>
          <w:sz w:val="24"/>
          <w:szCs w:val="24"/>
          <w:rtl/>
        </w:rPr>
        <w:lastRenderedPageBreak/>
        <w:t>חודש 10/2019 – חסר מידע בדפי חשבון שצורף</w:t>
      </w:r>
    </w:p>
    <w:p w:rsidR="00501CE0" w:rsidRDefault="00501CE0" w:rsidP="00501CE0">
      <w:pPr>
        <w:pStyle w:val="af"/>
        <w:spacing w:line="360" w:lineRule="auto"/>
        <w:ind w:left="567"/>
        <w:jc w:val="both"/>
        <w:rPr>
          <w:rFonts w:ascii="David" w:hAnsi="David" w:cs="David"/>
          <w:sz w:val="24"/>
          <w:szCs w:val="24"/>
          <w:rtl/>
        </w:rPr>
      </w:pPr>
      <w:r>
        <w:rPr>
          <w:rFonts w:ascii="David" w:hAnsi="David" w:cs="David"/>
          <w:sz w:val="24"/>
          <w:szCs w:val="24"/>
          <w:rtl/>
        </w:rPr>
        <w:t xml:space="preserve">בחודש 11/2019 הופקד בחשבון האיש 14,487.26 ₪ </w:t>
      </w:r>
    </w:p>
    <w:p w:rsidR="00501CE0" w:rsidRDefault="00501CE0" w:rsidP="00501CE0">
      <w:pPr>
        <w:pStyle w:val="af"/>
        <w:spacing w:line="360" w:lineRule="auto"/>
        <w:ind w:left="567"/>
        <w:jc w:val="both"/>
        <w:rPr>
          <w:rFonts w:ascii="David" w:hAnsi="David" w:cs="David"/>
          <w:sz w:val="24"/>
          <w:szCs w:val="24"/>
          <w:rtl/>
        </w:rPr>
      </w:pPr>
      <w:r>
        <w:rPr>
          <w:rFonts w:ascii="David" w:hAnsi="David" w:cs="David"/>
          <w:sz w:val="24"/>
          <w:szCs w:val="24"/>
          <w:rtl/>
        </w:rPr>
        <w:t xml:space="preserve">בחודש 12/2019 הופקד בחשבון האיש 20,500 ₪ </w:t>
      </w:r>
    </w:p>
    <w:p w:rsidR="00501CE0" w:rsidRDefault="00501CE0" w:rsidP="00501CE0">
      <w:pPr>
        <w:pStyle w:val="af"/>
        <w:spacing w:line="360" w:lineRule="auto"/>
        <w:ind w:left="567"/>
        <w:jc w:val="both"/>
        <w:rPr>
          <w:rFonts w:ascii="David" w:hAnsi="David" w:cs="David"/>
          <w:sz w:val="24"/>
          <w:szCs w:val="24"/>
          <w:rtl/>
        </w:rPr>
      </w:pPr>
      <w:r>
        <w:rPr>
          <w:rFonts w:ascii="David" w:hAnsi="David" w:cs="David"/>
          <w:sz w:val="24"/>
          <w:szCs w:val="24"/>
          <w:rtl/>
        </w:rPr>
        <w:t xml:space="preserve">בחודש 01/2020 הופקד בחשבון האיש 40,100 ₪ </w:t>
      </w:r>
    </w:p>
    <w:p w:rsidR="00501CE0" w:rsidRDefault="00501CE0" w:rsidP="00501CE0">
      <w:pPr>
        <w:pStyle w:val="af"/>
        <w:spacing w:line="360" w:lineRule="auto"/>
        <w:ind w:left="567"/>
        <w:jc w:val="both"/>
        <w:rPr>
          <w:rFonts w:ascii="David" w:hAnsi="David" w:cs="David"/>
          <w:sz w:val="24"/>
          <w:szCs w:val="24"/>
          <w:rtl/>
        </w:rPr>
      </w:pPr>
      <w:r>
        <w:rPr>
          <w:rFonts w:ascii="David" w:hAnsi="David" w:cs="David"/>
          <w:sz w:val="24"/>
          <w:szCs w:val="24"/>
          <w:rtl/>
        </w:rPr>
        <w:t xml:space="preserve">בחודש 02/2020 הופקד בחשבון האיש 25,100 ₪ </w:t>
      </w:r>
    </w:p>
    <w:p w:rsidR="00501CE0" w:rsidRDefault="00501CE0" w:rsidP="00501CE0">
      <w:pPr>
        <w:pStyle w:val="af"/>
        <w:spacing w:line="360" w:lineRule="auto"/>
        <w:ind w:left="567"/>
        <w:jc w:val="both"/>
        <w:rPr>
          <w:rFonts w:ascii="David" w:hAnsi="David" w:cs="David"/>
          <w:sz w:val="24"/>
          <w:szCs w:val="24"/>
          <w:rtl/>
        </w:rPr>
      </w:pPr>
      <w:r>
        <w:rPr>
          <w:rFonts w:ascii="David" w:hAnsi="David" w:cs="David"/>
          <w:sz w:val="24"/>
          <w:szCs w:val="24"/>
          <w:rtl/>
        </w:rPr>
        <w:t xml:space="preserve">בחודש 03/2020 הופקד בחשבון האיש 30,260 ₪ </w:t>
      </w:r>
    </w:p>
    <w:p w:rsidR="00501CE0" w:rsidRDefault="00501CE0" w:rsidP="00501CE0">
      <w:pPr>
        <w:pStyle w:val="af"/>
        <w:spacing w:line="360" w:lineRule="auto"/>
        <w:ind w:left="567"/>
        <w:jc w:val="both"/>
        <w:rPr>
          <w:rFonts w:ascii="David" w:hAnsi="David" w:cs="David"/>
          <w:sz w:val="24"/>
          <w:szCs w:val="24"/>
          <w:rtl/>
        </w:rPr>
      </w:pPr>
      <w:r>
        <w:rPr>
          <w:rFonts w:ascii="David" w:hAnsi="David" w:cs="David"/>
          <w:sz w:val="24"/>
          <w:szCs w:val="24"/>
          <w:rtl/>
        </w:rPr>
        <w:t xml:space="preserve">בחודש 04/2020 הופקד בחשבון האיש 20,600 ₪ </w:t>
      </w:r>
    </w:p>
    <w:p w:rsidR="00501CE0" w:rsidRDefault="00501CE0" w:rsidP="00501CE0">
      <w:pPr>
        <w:pStyle w:val="af"/>
        <w:spacing w:line="360" w:lineRule="auto"/>
        <w:ind w:left="567"/>
        <w:jc w:val="both"/>
        <w:rPr>
          <w:rFonts w:ascii="David" w:hAnsi="David" w:cs="David"/>
          <w:sz w:val="24"/>
          <w:szCs w:val="24"/>
          <w:rtl/>
        </w:rPr>
      </w:pPr>
      <w:r>
        <w:rPr>
          <w:rFonts w:ascii="David" w:hAnsi="David" w:cs="David"/>
          <w:sz w:val="24"/>
          <w:szCs w:val="24"/>
          <w:rtl/>
        </w:rPr>
        <w:t xml:space="preserve">בחודש 05/2020 הופקד בחשבון האיש 25,330 ₪ </w:t>
      </w:r>
    </w:p>
    <w:p w:rsidR="00501CE0" w:rsidRDefault="00501CE0" w:rsidP="00501CE0">
      <w:pPr>
        <w:pStyle w:val="af"/>
        <w:spacing w:line="360" w:lineRule="auto"/>
        <w:ind w:left="567"/>
        <w:jc w:val="both"/>
        <w:rPr>
          <w:rFonts w:ascii="David" w:hAnsi="David" w:cs="David"/>
          <w:sz w:val="24"/>
          <w:szCs w:val="24"/>
          <w:rtl/>
        </w:rPr>
      </w:pPr>
      <w:r>
        <w:rPr>
          <w:rFonts w:ascii="David" w:hAnsi="David" w:cs="David"/>
          <w:sz w:val="24"/>
          <w:szCs w:val="24"/>
          <w:rtl/>
        </w:rPr>
        <w:t xml:space="preserve">בחודש 06/2020 הופקד בחשבון האיש 20,060 ₪  </w:t>
      </w:r>
    </w:p>
    <w:p w:rsidR="00501CE0" w:rsidRDefault="00501CE0" w:rsidP="00501CE0">
      <w:pPr>
        <w:pStyle w:val="af"/>
        <w:spacing w:line="360" w:lineRule="auto"/>
        <w:ind w:left="567"/>
        <w:jc w:val="both"/>
        <w:rPr>
          <w:rFonts w:ascii="David" w:hAnsi="David" w:cs="David"/>
          <w:sz w:val="24"/>
          <w:szCs w:val="24"/>
          <w:rtl/>
        </w:rPr>
      </w:pPr>
      <w:r>
        <w:rPr>
          <w:rFonts w:ascii="David" w:hAnsi="David" w:cs="David"/>
          <w:sz w:val="24"/>
          <w:szCs w:val="24"/>
          <w:rtl/>
        </w:rPr>
        <w:t xml:space="preserve">בחודש 07/2020 הופקד בחשבון האיש 25,100 ₪ </w:t>
      </w:r>
    </w:p>
    <w:p w:rsidR="00501CE0" w:rsidRDefault="00501CE0" w:rsidP="00501CE0">
      <w:pPr>
        <w:pStyle w:val="af"/>
        <w:spacing w:line="360" w:lineRule="auto"/>
        <w:ind w:left="567"/>
        <w:jc w:val="both"/>
        <w:rPr>
          <w:rFonts w:ascii="David" w:hAnsi="David" w:cs="David"/>
          <w:sz w:val="24"/>
          <w:szCs w:val="24"/>
          <w:rtl/>
        </w:rPr>
      </w:pPr>
      <w:r>
        <w:rPr>
          <w:rFonts w:ascii="David" w:hAnsi="David" w:cs="David"/>
          <w:sz w:val="24"/>
          <w:szCs w:val="24"/>
          <w:rtl/>
        </w:rPr>
        <w:t>בחודש 08/2020 הופקדו בחשבון האיש 25,100 ₪ ובנוסף סך של 17,593 ₪ סיוע לעצמאים.</w:t>
      </w:r>
    </w:p>
    <w:p w:rsidR="00501CE0" w:rsidRDefault="00501CE0" w:rsidP="00501CE0">
      <w:pPr>
        <w:pStyle w:val="af"/>
        <w:spacing w:line="360" w:lineRule="auto"/>
        <w:ind w:left="567"/>
        <w:jc w:val="both"/>
        <w:rPr>
          <w:rFonts w:ascii="David" w:hAnsi="David" w:cs="David"/>
          <w:sz w:val="24"/>
          <w:szCs w:val="24"/>
          <w:rtl/>
        </w:rPr>
      </w:pPr>
    </w:p>
    <w:p w:rsidR="00501CE0" w:rsidRDefault="00501CE0" w:rsidP="00501CE0">
      <w:pPr>
        <w:pStyle w:val="af"/>
        <w:numPr>
          <w:ilvl w:val="0"/>
          <w:numId w:val="1"/>
        </w:numPr>
        <w:spacing w:after="0" w:line="360" w:lineRule="auto"/>
        <w:jc w:val="both"/>
        <w:rPr>
          <w:rFonts w:ascii="David" w:hAnsi="David" w:cs="David"/>
          <w:sz w:val="24"/>
          <w:szCs w:val="24"/>
          <w:rtl/>
        </w:rPr>
      </w:pPr>
      <w:r>
        <w:rPr>
          <w:rFonts w:ascii="David" w:hAnsi="David" w:cs="David"/>
          <w:b/>
          <w:bCs/>
          <w:sz w:val="24"/>
          <w:szCs w:val="24"/>
          <w:rtl/>
        </w:rPr>
        <w:t>האיש לא נתן הסבר מספק להכנסותיו העולות מדפי החשבון, לרבות הפקדות שיקים וההעברות</w:t>
      </w:r>
      <w:r>
        <w:rPr>
          <w:rFonts w:ascii="David" w:hAnsi="David" w:cs="David"/>
          <w:sz w:val="24"/>
          <w:szCs w:val="24"/>
          <w:rtl/>
        </w:rPr>
        <w:t>. הגם שהאב מציג חשבון המצוי ביתרה שלילית, הכנסותיו שונות בתכלית מגובה הכנסותיו כנטען על ידו. מדובר בהכנסות גבוהות המשקפות עלייה משמעותית בהכנסות האב בהשוואה למועד ההסכם.</w:t>
      </w:r>
    </w:p>
    <w:p w:rsidR="00501CE0" w:rsidRDefault="00501CE0" w:rsidP="00501CE0">
      <w:pPr>
        <w:pStyle w:val="af"/>
        <w:spacing w:after="0" w:line="360" w:lineRule="auto"/>
        <w:ind w:left="651"/>
        <w:jc w:val="both"/>
        <w:rPr>
          <w:rFonts w:ascii="David" w:hAnsi="David" w:cs="David"/>
          <w:sz w:val="24"/>
          <w:szCs w:val="24"/>
        </w:rPr>
      </w:pPr>
    </w:p>
    <w:p w:rsidR="00501CE0" w:rsidRDefault="00501CE0" w:rsidP="00501CE0">
      <w:pPr>
        <w:pStyle w:val="af"/>
        <w:numPr>
          <w:ilvl w:val="0"/>
          <w:numId w:val="1"/>
        </w:numPr>
        <w:spacing w:after="0" w:line="360" w:lineRule="auto"/>
        <w:jc w:val="both"/>
        <w:rPr>
          <w:rFonts w:ascii="David" w:hAnsi="David" w:cs="David"/>
          <w:sz w:val="24"/>
          <w:szCs w:val="24"/>
        </w:rPr>
      </w:pPr>
      <w:r>
        <w:rPr>
          <w:rFonts w:ascii="David" w:hAnsi="David" w:cs="David"/>
          <w:b/>
          <w:bCs/>
          <w:sz w:val="24"/>
          <w:szCs w:val="24"/>
          <w:rtl/>
        </w:rPr>
        <w:t>האיש</w:t>
      </w:r>
      <w:r>
        <w:rPr>
          <w:rFonts w:ascii="David" w:hAnsi="David" w:cs="David"/>
          <w:sz w:val="24"/>
          <w:szCs w:val="24"/>
          <w:rtl/>
        </w:rPr>
        <w:t xml:space="preserve"> השיב בחקירה נגדית בנוגע להעדר צירוף אסמכתאות בגין הכנסותיו מחברת עו"ד שבבעלותו:</w:t>
      </w:r>
    </w:p>
    <w:p w:rsidR="00501CE0" w:rsidRDefault="00501CE0" w:rsidP="00501CE0">
      <w:pPr>
        <w:pStyle w:val="af"/>
        <w:spacing w:after="0" w:line="360" w:lineRule="auto"/>
        <w:ind w:left="567"/>
        <w:jc w:val="both"/>
        <w:rPr>
          <w:rFonts w:ascii="Arial" w:hAnsi="Arial" w:cs="David"/>
          <w:b/>
          <w:bCs/>
          <w:sz w:val="24"/>
          <w:szCs w:val="24"/>
          <w:u w:val="single"/>
        </w:rPr>
      </w:pPr>
      <w:r>
        <w:rPr>
          <w:rFonts w:ascii="Arial" w:hAnsi="Arial" w:cs="David"/>
          <w:b/>
          <w:bCs/>
          <w:sz w:val="24"/>
          <w:szCs w:val="24"/>
          <w:rtl/>
        </w:rPr>
        <w:t xml:space="preserve">"ש: או קיי. </w:t>
      </w:r>
      <w:bookmarkStart w:id="163" w:name="_ETM_Q_186585"/>
      <w:bookmarkEnd w:id="163"/>
      <w:r>
        <w:rPr>
          <w:rFonts w:ascii="Arial" w:hAnsi="Arial" w:cs="David"/>
          <w:b/>
          <w:bCs/>
          <w:sz w:val="24"/>
          <w:szCs w:val="24"/>
          <w:u w:val="single"/>
          <w:rtl/>
        </w:rPr>
        <w:t>האם נכון שיש חברת עו"ד בבעלותך?</w:t>
      </w:r>
    </w:p>
    <w:p w:rsidR="00501CE0" w:rsidRDefault="00501CE0" w:rsidP="00501CE0">
      <w:pPr>
        <w:pStyle w:val="af"/>
        <w:spacing w:after="0" w:line="360" w:lineRule="auto"/>
        <w:ind w:left="567"/>
        <w:jc w:val="both"/>
        <w:rPr>
          <w:rFonts w:ascii="Arial" w:hAnsi="Arial" w:cs="David"/>
          <w:b/>
          <w:bCs/>
          <w:sz w:val="24"/>
          <w:szCs w:val="24"/>
          <w:rtl/>
        </w:rPr>
      </w:pPr>
      <w:r>
        <w:rPr>
          <w:rFonts w:ascii="Arial" w:hAnsi="Arial" w:cs="David"/>
          <w:b/>
          <w:bCs/>
          <w:sz w:val="24"/>
          <w:szCs w:val="24"/>
          <w:rtl/>
        </w:rPr>
        <w:t>ת:  כן, כתבתי כך.</w:t>
      </w:r>
    </w:p>
    <w:p w:rsidR="00501CE0" w:rsidRDefault="00501CE0" w:rsidP="00501CE0">
      <w:pPr>
        <w:pStyle w:val="af"/>
        <w:spacing w:after="0" w:line="360" w:lineRule="auto"/>
        <w:ind w:left="567"/>
        <w:jc w:val="both"/>
        <w:rPr>
          <w:rFonts w:ascii="Arial" w:hAnsi="Arial" w:cs="David"/>
          <w:b/>
          <w:bCs/>
          <w:sz w:val="24"/>
          <w:szCs w:val="24"/>
          <w:rtl/>
        </w:rPr>
      </w:pPr>
      <w:r>
        <w:rPr>
          <w:rFonts w:ascii="Arial" w:hAnsi="Arial" w:cs="David"/>
          <w:b/>
          <w:bCs/>
          <w:sz w:val="24"/>
          <w:szCs w:val="24"/>
          <w:rtl/>
        </w:rPr>
        <w:t xml:space="preserve">ש: </w:t>
      </w:r>
      <w:r>
        <w:rPr>
          <w:rFonts w:ascii="Arial" w:hAnsi="Arial" w:cs="David"/>
          <w:b/>
          <w:bCs/>
          <w:sz w:val="24"/>
          <w:szCs w:val="24"/>
          <w:u w:val="single"/>
          <w:rtl/>
        </w:rPr>
        <w:t xml:space="preserve">יש לחברה חשבון </w:t>
      </w:r>
      <w:bookmarkStart w:id="164" w:name="_ETM_Q_192945"/>
      <w:bookmarkEnd w:id="164"/>
      <w:r>
        <w:rPr>
          <w:rFonts w:ascii="Arial" w:hAnsi="Arial" w:cs="David"/>
          <w:b/>
          <w:bCs/>
          <w:sz w:val="24"/>
          <w:szCs w:val="24"/>
          <w:u w:val="single"/>
          <w:rtl/>
        </w:rPr>
        <w:t>בנק?</w:t>
      </w:r>
    </w:p>
    <w:p w:rsidR="00501CE0" w:rsidRDefault="00501CE0" w:rsidP="00501CE0">
      <w:pPr>
        <w:pStyle w:val="af"/>
        <w:spacing w:after="0" w:line="360" w:lineRule="auto"/>
        <w:ind w:left="567"/>
        <w:jc w:val="both"/>
        <w:rPr>
          <w:rFonts w:ascii="Arial" w:hAnsi="Arial" w:cs="David"/>
          <w:b/>
          <w:bCs/>
          <w:sz w:val="24"/>
          <w:szCs w:val="24"/>
          <w:u w:val="single"/>
          <w:rtl/>
        </w:rPr>
      </w:pPr>
      <w:r>
        <w:rPr>
          <w:rFonts w:ascii="Arial" w:hAnsi="Arial" w:cs="David"/>
          <w:b/>
          <w:bCs/>
          <w:sz w:val="24"/>
          <w:szCs w:val="24"/>
          <w:u w:val="single"/>
          <w:rtl/>
        </w:rPr>
        <w:t>ת: נכון.</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ש: </w:t>
      </w:r>
      <w:r>
        <w:rPr>
          <w:rFonts w:ascii="Arial" w:hAnsi="Arial" w:cs="David"/>
          <w:sz w:val="24"/>
          <w:szCs w:val="24"/>
          <w:rtl/>
        </w:rPr>
        <w:t>למה הוא לא צורף</w:t>
      </w:r>
      <w:r>
        <w:rPr>
          <w:rFonts w:ascii="Arial" w:hAnsi="Arial" w:cs="David"/>
          <w:sz w:val="24"/>
          <w:szCs w:val="24"/>
          <w:u w:val="none"/>
          <w:rtl/>
        </w:rPr>
        <w:t>?</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ת: </w:t>
      </w:r>
      <w:r>
        <w:rPr>
          <w:rFonts w:ascii="Arial" w:hAnsi="Arial" w:cs="David"/>
          <w:sz w:val="24"/>
          <w:szCs w:val="24"/>
          <w:rtl/>
        </w:rPr>
        <w:t>למה הייתי צריך לצרף?</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ש: </w:t>
      </w:r>
      <w:r>
        <w:rPr>
          <w:rFonts w:ascii="Arial" w:hAnsi="Arial" w:cs="David"/>
          <w:sz w:val="24"/>
          <w:szCs w:val="24"/>
          <w:rtl/>
        </w:rPr>
        <w:t xml:space="preserve">מה זאת אומרת? </w:t>
      </w:r>
      <w:bookmarkStart w:id="165" w:name="_ETM_Q_199228"/>
      <w:bookmarkEnd w:id="165"/>
      <w:r>
        <w:rPr>
          <w:rFonts w:ascii="Arial" w:hAnsi="Arial" w:cs="David"/>
          <w:sz w:val="24"/>
          <w:szCs w:val="24"/>
          <w:rtl/>
        </w:rPr>
        <w:t>אתה בעלים יחיד בחברה?</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ת: </w:t>
      </w:r>
      <w:r>
        <w:rPr>
          <w:rFonts w:ascii="Arial" w:hAnsi="Arial" w:cs="David"/>
          <w:sz w:val="24"/>
          <w:szCs w:val="24"/>
          <w:rtl/>
        </w:rPr>
        <w:t>אני בעל המניות היחידי בחברה, כן.</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ש: אז איך </w:t>
      </w:r>
      <w:bookmarkStart w:id="166" w:name="_ETM_Q_202471"/>
      <w:bookmarkEnd w:id="166"/>
      <w:r>
        <w:rPr>
          <w:rFonts w:ascii="Arial" w:hAnsi="Arial" w:cs="David"/>
          <w:sz w:val="24"/>
          <w:szCs w:val="24"/>
          <w:u w:val="none"/>
          <w:rtl/>
        </w:rPr>
        <w:t xml:space="preserve">חשבון הבנק הזה לא צורף? איך אני יכולה לדעת מה מתנהל </w:t>
      </w:r>
      <w:bookmarkStart w:id="167" w:name="_ETM_Q_206865"/>
      <w:bookmarkEnd w:id="167"/>
      <w:r>
        <w:rPr>
          <w:rFonts w:ascii="Arial" w:hAnsi="Arial" w:cs="David"/>
          <w:sz w:val="24"/>
          <w:szCs w:val="24"/>
          <w:u w:val="none"/>
          <w:rtl/>
        </w:rPr>
        <w:t>בחשבון הבנק הזה?</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ת: </w:t>
      </w:r>
      <w:r>
        <w:rPr>
          <w:rFonts w:ascii="Arial" w:hAnsi="Arial" w:cs="David"/>
          <w:sz w:val="24"/>
          <w:szCs w:val="24"/>
          <w:rtl/>
        </w:rPr>
        <w:t xml:space="preserve">עד כמה אני יודע ועד </w:t>
      </w:r>
      <w:bookmarkStart w:id="168" w:name="_ETM_Q_212010"/>
      <w:bookmarkEnd w:id="168"/>
      <w:r>
        <w:rPr>
          <w:rFonts w:ascii="Arial" w:hAnsi="Arial" w:cs="David"/>
          <w:sz w:val="24"/>
          <w:szCs w:val="24"/>
          <w:rtl/>
        </w:rPr>
        <w:t>כמה שהדין אני מכיר אותו, כפי שהסבירו לי גם,</w:t>
      </w:r>
      <w:bookmarkStart w:id="169" w:name="_ETM_Q_214045"/>
      <w:bookmarkEnd w:id="169"/>
      <w:r>
        <w:rPr>
          <w:rFonts w:ascii="Arial" w:hAnsi="Arial" w:cs="David"/>
          <w:sz w:val="24"/>
          <w:szCs w:val="24"/>
          <w:rtl/>
        </w:rPr>
        <w:t xml:space="preserve"> אני לא צריך לצרף את חשבון הבנק של החברה, אני </w:t>
      </w:r>
      <w:bookmarkStart w:id="170" w:name="_ETM_Q_218190"/>
      <w:bookmarkEnd w:id="170"/>
      <w:r>
        <w:rPr>
          <w:rFonts w:ascii="Arial" w:hAnsi="Arial" w:cs="David"/>
          <w:sz w:val="24"/>
          <w:szCs w:val="24"/>
          <w:rtl/>
        </w:rPr>
        <w:t>לא צריך לצרף דו"ח שנתי של החברה, הבאתי אישור רואה</w:t>
      </w:r>
      <w:bookmarkStart w:id="171" w:name="_ETM_Q_223470"/>
      <w:bookmarkEnd w:id="171"/>
      <w:r>
        <w:rPr>
          <w:rFonts w:ascii="Arial" w:hAnsi="Arial" w:cs="David"/>
          <w:sz w:val="24"/>
          <w:szCs w:val="24"/>
          <w:rtl/>
        </w:rPr>
        <w:t xml:space="preserve"> חשבון לגבי החברה</w:t>
      </w:r>
      <w:r>
        <w:rPr>
          <w:rFonts w:ascii="Arial" w:hAnsi="Arial" w:cs="David"/>
          <w:sz w:val="24"/>
          <w:szCs w:val="24"/>
          <w:u w:val="none"/>
          <w:rtl/>
        </w:rPr>
        <w:t>. יכולת להגיש בקשות, לבקש את המסמכים. לא</w:t>
      </w:r>
      <w:bookmarkStart w:id="172" w:name="_ETM_Q_225097"/>
      <w:bookmarkEnd w:id="172"/>
      <w:r>
        <w:rPr>
          <w:rFonts w:ascii="Arial" w:hAnsi="Arial" w:cs="David"/>
          <w:sz w:val="24"/>
          <w:szCs w:val="24"/>
          <w:u w:val="none"/>
          <w:rtl/>
        </w:rPr>
        <w:t xml:space="preserve"> ביקשת. גם עד כמה שאני יודע, סליחה שאני אומר, אמרת </w:t>
      </w:r>
      <w:bookmarkStart w:id="173" w:name="_ETM_Q_229702"/>
      <w:bookmarkEnd w:id="173"/>
      <w:r>
        <w:rPr>
          <w:rFonts w:ascii="Arial" w:hAnsi="Arial" w:cs="David"/>
          <w:sz w:val="24"/>
          <w:szCs w:val="24"/>
          <w:u w:val="none"/>
          <w:rtl/>
        </w:rPr>
        <w:t xml:space="preserve">קודם משהו, אין שום החלטה שאומרת לי להביא את הדברים </w:t>
      </w:r>
      <w:bookmarkStart w:id="174" w:name="_ETM_Q_231706"/>
      <w:bookmarkEnd w:id="174"/>
      <w:r>
        <w:rPr>
          <w:rFonts w:ascii="Arial" w:hAnsi="Arial" w:cs="David"/>
          <w:sz w:val="24"/>
          <w:szCs w:val="24"/>
          <w:u w:val="none"/>
          <w:rtl/>
        </w:rPr>
        <w:t>האלה.</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r>
        <w:rPr>
          <w:rFonts w:ascii="Arial" w:hAnsi="Arial" w:cs="David"/>
          <w:sz w:val="24"/>
          <w:szCs w:val="24"/>
          <w:u w:val="none"/>
          <w:rtl/>
        </w:rPr>
        <w:t>ש: אני אראה לך את ההחלטה.</w:t>
      </w:r>
    </w:p>
    <w:p w:rsidR="00501CE0" w:rsidRDefault="00501CE0" w:rsidP="00501CE0">
      <w:pPr>
        <w:pStyle w:val="ad"/>
        <w:shd w:val="clear" w:color="auto" w:fill="auto"/>
        <w:tabs>
          <w:tab w:val="left" w:pos="273"/>
        </w:tabs>
        <w:spacing w:line="360" w:lineRule="auto"/>
        <w:ind w:left="567" w:firstLine="0"/>
        <w:jc w:val="both"/>
        <w:rPr>
          <w:rFonts w:ascii="Arial" w:hAnsi="Arial" w:cs="David"/>
          <w:b w:val="0"/>
          <w:bCs w:val="0"/>
          <w:sz w:val="24"/>
          <w:szCs w:val="24"/>
          <w:u w:val="none"/>
          <w:rtl/>
        </w:rPr>
      </w:pPr>
      <w:r>
        <w:rPr>
          <w:rFonts w:ascii="Arial" w:hAnsi="Arial" w:cs="David"/>
          <w:sz w:val="24"/>
          <w:szCs w:val="24"/>
          <w:u w:val="none"/>
          <w:rtl/>
        </w:rPr>
        <w:lastRenderedPageBreak/>
        <w:t xml:space="preserve">ת: בבקשה, תראי. ואם את חושבת שביזיתי </w:t>
      </w:r>
      <w:bookmarkStart w:id="175" w:name="_ETM_Q_240486"/>
      <w:bookmarkEnd w:id="175"/>
      <w:r>
        <w:rPr>
          <w:rFonts w:ascii="Arial" w:hAnsi="Arial" w:cs="David"/>
          <w:sz w:val="24"/>
          <w:szCs w:val="24"/>
          <w:u w:val="none"/>
          <w:rtl/>
        </w:rPr>
        <w:t>החלטה, למה לא הגשת בקשה? אני לא כל כך מבין</w:t>
      </w:r>
      <w:bookmarkStart w:id="176" w:name="_ETM_Q_242751"/>
      <w:bookmarkEnd w:id="176"/>
      <w:r>
        <w:rPr>
          <w:rFonts w:ascii="Arial" w:hAnsi="Arial" w:cs="David"/>
          <w:sz w:val="24"/>
          <w:szCs w:val="24"/>
          <w:u w:val="none"/>
          <w:rtl/>
        </w:rPr>
        <w:t xml:space="preserve"> את הטענות."</w:t>
      </w:r>
      <w:r>
        <w:rPr>
          <w:rFonts w:ascii="Arial" w:hAnsi="Arial" w:cs="David"/>
          <w:b w:val="0"/>
          <w:bCs w:val="0"/>
          <w:sz w:val="24"/>
          <w:szCs w:val="24"/>
          <w:u w:val="none"/>
          <w:rtl/>
        </w:rPr>
        <w:t xml:space="preserve"> (ההדגשות בקו הוספו).</w:t>
      </w:r>
    </w:p>
    <w:p w:rsidR="00501CE0" w:rsidRDefault="00501CE0" w:rsidP="00501CE0">
      <w:pPr>
        <w:pStyle w:val="ad"/>
        <w:shd w:val="clear" w:color="auto" w:fill="auto"/>
        <w:tabs>
          <w:tab w:val="left" w:pos="273"/>
        </w:tabs>
        <w:spacing w:line="360" w:lineRule="auto"/>
        <w:ind w:left="567" w:firstLine="0"/>
        <w:jc w:val="left"/>
        <w:rPr>
          <w:rFonts w:ascii="Arial" w:hAnsi="Arial" w:cs="David"/>
          <w:b w:val="0"/>
          <w:bCs w:val="0"/>
          <w:sz w:val="24"/>
          <w:szCs w:val="24"/>
          <w:u w:val="none"/>
          <w:rtl/>
        </w:rPr>
      </w:pPr>
      <w:r>
        <w:rPr>
          <w:rFonts w:ascii="Arial" w:hAnsi="Arial" w:cs="David"/>
          <w:b w:val="0"/>
          <w:bCs w:val="0"/>
          <w:sz w:val="24"/>
          <w:szCs w:val="24"/>
          <w:u w:val="none"/>
          <w:rtl/>
        </w:rPr>
        <w:t>(ראו פרוטוקול מיום 23.11.2020 עמ' 12 שו' 20-32 וגם עמ' 13 שו' 1-5).</w:t>
      </w:r>
    </w:p>
    <w:p w:rsidR="00501CE0" w:rsidRDefault="00501CE0" w:rsidP="00501CE0">
      <w:pPr>
        <w:pStyle w:val="ad"/>
        <w:shd w:val="clear" w:color="auto" w:fill="auto"/>
        <w:tabs>
          <w:tab w:val="left" w:pos="273"/>
        </w:tabs>
        <w:spacing w:line="360" w:lineRule="auto"/>
        <w:ind w:left="935" w:hanging="284"/>
        <w:jc w:val="left"/>
        <w:rPr>
          <w:rFonts w:ascii="Arial" w:hAnsi="Arial" w:cs="David"/>
          <w:b w:val="0"/>
          <w:bCs w:val="0"/>
          <w:sz w:val="24"/>
          <w:szCs w:val="24"/>
          <w:u w:val="none"/>
          <w:rtl/>
        </w:rPr>
      </w:pPr>
    </w:p>
    <w:p w:rsidR="00501CE0" w:rsidRDefault="00501CE0" w:rsidP="00501CE0">
      <w:pPr>
        <w:pStyle w:val="af"/>
        <w:numPr>
          <w:ilvl w:val="0"/>
          <w:numId w:val="1"/>
        </w:numPr>
        <w:spacing w:after="0" w:line="360" w:lineRule="auto"/>
        <w:jc w:val="both"/>
        <w:rPr>
          <w:rFonts w:ascii="Arial" w:hAnsi="Arial" w:cs="David"/>
          <w:b/>
          <w:bCs/>
          <w:sz w:val="24"/>
          <w:szCs w:val="24"/>
          <w:rtl/>
        </w:rPr>
      </w:pPr>
      <w:r>
        <w:rPr>
          <w:rFonts w:ascii="Arial" w:hAnsi="Arial" w:cs="David"/>
          <w:b/>
          <w:bCs/>
          <w:sz w:val="24"/>
          <w:szCs w:val="24"/>
          <w:rtl/>
        </w:rPr>
        <w:t xml:space="preserve">האיש </w:t>
      </w:r>
      <w:r>
        <w:rPr>
          <w:rFonts w:ascii="Arial" w:hAnsi="Arial" w:cs="David"/>
          <w:sz w:val="24"/>
          <w:szCs w:val="24"/>
          <w:rtl/>
        </w:rPr>
        <w:t>השיב בחקירה נגדית בנוגע להעדר צירוף דו"ח מבוקר של רו"ח לשנים 2018-2019 כי צירף כל מה שהיה צריך:</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Pr>
      </w:pPr>
      <w:r>
        <w:rPr>
          <w:rFonts w:ascii="Arial" w:hAnsi="Arial" w:cs="David"/>
          <w:sz w:val="24"/>
          <w:szCs w:val="24"/>
          <w:u w:val="none"/>
          <w:rtl/>
        </w:rPr>
        <w:t xml:space="preserve">"ש: או קיי. </w:t>
      </w:r>
      <w:r>
        <w:rPr>
          <w:rFonts w:ascii="Arial" w:hAnsi="Arial" w:cs="David"/>
          <w:sz w:val="24"/>
          <w:szCs w:val="24"/>
          <w:rtl/>
        </w:rPr>
        <w:t xml:space="preserve">מדוע לא צורף דו"ח </w:t>
      </w:r>
      <w:bookmarkStart w:id="177" w:name="_ETM_Q_341868"/>
      <w:bookmarkEnd w:id="177"/>
      <w:r>
        <w:rPr>
          <w:rFonts w:ascii="Arial" w:hAnsi="Arial" w:cs="David"/>
          <w:sz w:val="24"/>
          <w:szCs w:val="24"/>
          <w:rtl/>
        </w:rPr>
        <w:t xml:space="preserve">רואה חשבון מבוקר על השנים או 18 או 19 או </w:t>
      </w:r>
      <w:bookmarkStart w:id="178" w:name="_ETM_Q_345396"/>
      <w:bookmarkEnd w:id="178"/>
      <w:r>
        <w:rPr>
          <w:rFonts w:ascii="Arial" w:hAnsi="Arial" w:cs="David"/>
          <w:sz w:val="24"/>
          <w:szCs w:val="24"/>
          <w:rtl/>
        </w:rPr>
        <w:t xml:space="preserve">לא מבוקר של שנת 20? למעשה כל מה שצורף זה </w:t>
      </w:r>
      <w:bookmarkStart w:id="179" w:name="_ETM_Q_348685"/>
      <w:bookmarkEnd w:id="179"/>
      <w:r>
        <w:rPr>
          <w:rFonts w:ascii="Arial" w:hAnsi="Arial" w:cs="David"/>
          <w:sz w:val="24"/>
          <w:szCs w:val="24"/>
          <w:rtl/>
        </w:rPr>
        <w:t>רק מכתב מרואה חשבון</w:t>
      </w:r>
      <w:r>
        <w:rPr>
          <w:rFonts w:ascii="Arial" w:hAnsi="Arial" w:cs="David"/>
          <w:sz w:val="24"/>
          <w:szCs w:val="24"/>
          <w:u w:val="none"/>
          <w:rtl/>
        </w:rPr>
        <w:t xml:space="preserve"> שאנחנו יודעים שהוא גם חבר ילדות </w:t>
      </w:r>
      <w:bookmarkStart w:id="180" w:name="_ETM_Q_353077"/>
      <w:bookmarkEnd w:id="180"/>
      <w:r>
        <w:rPr>
          <w:rFonts w:ascii="Arial" w:hAnsi="Arial" w:cs="David"/>
          <w:sz w:val="24"/>
          <w:szCs w:val="24"/>
          <w:u w:val="none"/>
          <w:rtl/>
        </w:rPr>
        <w:t>שלך, ומעבר חזה אין שום דו"ח של רואה חשבון לגבי</w:t>
      </w:r>
      <w:bookmarkStart w:id="181" w:name="_ETM_Q_354014"/>
      <w:bookmarkEnd w:id="181"/>
      <w:r>
        <w:rPr>
          <w:rFonts w:ascii="Arial" w:hAnsi="Arial" w:cs="David"/>
          <w:sz w:val="24"/>
          <w:szCs w:val="24"/>
          <w:u w:val="none"/>
          <w:rtl/>
        </w:rPr>
        <w:t xml:space="preserve"> מצב החברה. זאת אומרת, כל מצב החברה, הכמנת לחלוטין את הדבר</w:t>
      </w:r>
      <w:bookmarkStart w:id="182" w:name="_ETM_Q_358823"/>
      <w:bookmarkEnd w:id="182"/>
      <w:r>
        <w:rPr>
          <w:rFonts w:ascii="Arial" w:hAnsi="Arial" w:cs="David"/>
          <w:sz w:val="24"/>
          <w:szCs w:val="24"/>
          <w:u w:val="none"/>
          <w:rtl/>
        </w:rPr>
        <w:t xml:space="preserve"> הזה. את הפרטים.</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r>
        <w:rPr>
          <w:rFonts w:ascii="Arial" w:hAnsi="Arial" w:cs="David"/>
          <w:sz w:val="24"/>
          <w:szCs w:val="24"/>
          <w:u w:val="none"/>
          <w:rtl/>
        </w:rPr>
        <w:t>ת:</w:t>
      </w:r>
      <w:r>
        <w:rPr>
          <w:rFonts w:ascii="Arial" w:hAnsi="Arial" w:cs="David"/>
          <w:sz w:val="24"/>
          <w:szCs w:val="24"/>
          <w:u w:val="none"/>
          <w:rtl/>
        </w:rPr>
        <w:tab/>
        <w:t xml:space="preserve">תראי, אני </w:t>
      </w:r>
      <w:r>
        <w:rPr>
          <w:rFonts w:ascii="Arial" w:hAnsi="Arial" w:cs="David"/>
          <w:sz w:val="24"/>
          <w:szCs w:val="24"/>
          <w:rtl/>
        </w:rPr>
        <w:t xml:space="preserve">לא הכמנתי שום דבר, הכל גלוי. </w:t>
      </w:r>
      <w:bookmarkStart w:id="183" w:name="_ETM_Q_361384"/>
      <w:bookmarkEnd w:id="183"/>
      <w:r>
        <w:rPr>
          <w:rFonts w:ascii="Arial" w:hAnsi="Arial" w:cs="David"/>
          <w:sz w:val="24"/>
          <w:szCs w:val="24"/>
          <w:rtl/>
        </w:rPr>
        <w:t>יכולת לבקש</w:t>
      </w:r>
      <w:r>
        <w:rPr>
          <w:rFonts w:ascii="Arial" w:hAnsi="Arial" w:cs="David"/>
          <w:sz w:val="24"/>
          <w:szCs w:val="24"/>
          <w:u w:val="none"/>
          <w:rtl/>
        </w:rPr>
        <w:t>, כמו שעושים,</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r>
        <w:rPr>
          <w:rFonts w:ascii="Arial" w:hAnsi="Arial" w:cs="David"/>
          <w:sz w:val="24"/>
          <w:szCs w:val="24"/>
          <w:u w:val="none"/>
          <w:rtl/>
        </w:rPr>
        <w:t>ש:</w:t>
      </w:r>
      <w:r>
        <w:rPr>
          <w:rFonts w:ascii="Arial" w:hAnsi="Arial" w:cs="David"/>
          <w:sz w:val="24"/>
          <w:szCs w:val="24"/>
          <w:u w:val="none"/>
          <w:rtl/>
        </w:rPr>
        <w:tab/>
        <w:t xml:space="preserve">ביקשתי בדיון, ביהמ"ש קבע לצרף ביקשתי </w:t>
      </w:r>
      <w:bookmarkStart w:id="184" w:name="_ETM_Q_367176"/>
      <w:bookmarkEnd w:id="184"/>
      <w:r>
        <w:rPr>
          <w:rFonts w:ascii="Arial" w:hAnsi="Arial" w:cs="David"/>
          <w:sz w:val="24"/>
          <w:szCs w:val="24"/>
          <w:u w:val="none"/>
          <w:rtl/>
        </w:rPr>
        <w:t xml:space="preserve">שיובהר שמדובר בכל חשבונות הבנק, ביהמ"ש אמר לי שזה </w:t>
      </w:r>
      <w:bookmarkStart w:id="185" w:name="_ETM_Q_370114"/>
      <w:bookmarkEnd w:id="185"/>
      <w:r>
        <w:rPr>
          <w:rFonts w:ascii="Arial" w:hAnsi="Arial" w:cs="David"/>
          <w:sz w:val="24"/>
          <w:szCs w:val="24"/>
          <w:u w:val="none"/>
          <w:rtl/>
        </w:rPr>
        <w:t>ברור מאליו.</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bookmarkStart w:id="186" w:name="_ETM_Q_371218"/>
      <w:bookmarkEnd w:id="186"/>
      <w:r>
        <w:rPr>
          <w:rFonts w:ascii="Arial" w:hAnsi="Arial" w:cs="David"/>
          <w:sz w:val="24"/>
          <w:szCs w:val="24"/>
          <w:u w:val="none"/>
          <w:rtl/>
        </w:rPr>
        <w:t>כב' הש' שקד: יש איזה אישור רשמי לגבי השווי של החברה?</w:t>
      </w:r>
      <w:bookmarkStart w:id="187" w:name="_ETM_Q_371961"/>
      <w:bookmarkEnd w:id="187"/>
    </w:p>
    <w:p w:rsidR="00501CE0" w:rsidRDefault="007926FD" w:rsidP="00501CE0">
      <w:pPr>
        <w:pStyle w:val="ad"/>
        <w:shd w:val="clear" w:color="auto" w:fill="auto"/>
        <w:tabs>
          <w:tab w:val="left" w:pos="273"/>
        </w:tabs>
        <w:spacing w:line="360" w:lineRule="auto"/>
        <w:ind w:left="567" w:firstLine="0"/>
        <w:jc w:val="both"/>
        <w:rPr>
          <w:rFonts w:ascii="Arial" w:hAnsi="Arial" w:cs="David"/>
          <w:sz w:val="24"/>
          <w:szCs w:val="24"/>
          <w:u w:val="none"/>
          <w:rtl/>
        </w:rPr>
      </w:pPr>
      <w:r>
        <w:rPr>
          <w:rFonts w:ascii="Arial" w:hAnsi="Arial" w:cs="David" w:hint="cs"/>
          <w:sz w:val="24"/>
          <w:szCs w:val="24"/>
          <w:u w:val="none"/>
          <w:rtl/>
        </w:rPr>
        <w:t>האב</w:t>
      </w:r>
      <w:r w:rsidR="00501CE0">
        <w:rPr>
          <w:rFonts w:ascii="Arial" w:hAnsi="Arial" w:cs="David"/>
          <w:sz w:val="24"/>
          <w:szCs w:val="24"/>
          <w:u w:val="none"/>
          <w:rtl/>
        </w:rPr>
        <w:t>: יש, צירפתי</w:t>
      </w:r>
      <w:bookmarkStart w:id="188" w:name="_ETM_Q_373483"/>
      <w:bookmarkEnd w:id="188"/>
      <w:r w:rsidR="00501CE0">
        <w:rPr>
          <w:rFonts w:ascii="Arial" w:hAnsi="Arial" w:cs="David"/>
          <w:sz w:val="24"/>
          <w:szCs w:val="24"/>
          <w:u w:val="none"/>
          <w:rtl/>
        </w:rPr>
        <w:t xml:space="preserve"> אדוני, גם להרצאת הפרטים וגם לתביעה שהגשתי, </w:t>
      </w:r>
      <w:r w:rsidR="00501CE0">
        <w:rPr>
          <w:rFonts w:ascii="Arial" w:hAnsi="Arial" w:cs="David"/>
          <w:sz w:val="24"/>
          <w:szCs w:val="24"/>
          <w:rtl/>
        </w:rPr>
        <w:t xml:space="preserve">אישור </w:t>
      </w:r>
      <w:bookmarkStart w:id="189" w:name="_ETM_Q_378699"/>
      <w:bookmarkEnd w:id="189"/>
      <w:r w:rsidR="00501CE0">
        <w:rPr>
          <w:rFonts w:ascii="Arial" w:hAnsi="Arial" w:cs="David"/>
          <w:sz w:val="24"/>
          <w:szCs w:val="24"/>
          <w:rtl/>
        </w:rPr>
        <w:t>של רואה החשבון שמסביר כמה הרווחים</w:t>
      </w:r>
      <w:r w:rsidR="00501CE0">
        <w:rPr>
          <w:rFonts w:ascii="Arial" w:hAnsi="Arial" w:cs="David"/>
          <w:sz w:val="24"/>
          <w:szCs w:val="24"/>
          <w:u w:val="none"/>
          <w:rtl/>
        </w:rPr>
        <w:t xml:space="preserve">. גם אדוני, אם אני </w:t>
      </w:r>
      <w:bookmarkStart w:id="190" w:name="_ETM_Q_382075"/>
      <w:bookmarkEnd w:id="190"/>
      <w:r w:rsidR="00501CE0">
        <w:rPr>
          <w:rFonts w:ascii="Arial" w:hAnsi="Arial" w:cs="David"/>
          <w:sz w:val="24"/>
          <w:szCs w:val="24"/>
          <w:u w:val="none"/>
          <w:rtl/>
        </w:rPr>
        <w:t xml:space="preserve">לא טועה, העלה את זה באחד הדיונים שהיינו פה בניסיון </w:t>
      </w:r>
      <w:bookmarkStart w:id="191" w:name="_ETM_Q_387326"/>
      <w:bookmarkEnd w:id="191"/>
      <w:r w:rsidR="00501CE0">
        <w:rPr>
          <w:rFonts w:ascii="Arial" w:hAnsi="Arial" w:cs="David"/>
          <w:sz w:val="24"/>
          <w:szCs w:val="24"/>
          <w:u w:val="none"/>
          <w:rtl/>
        </w:rPr>
        <w:t xml:space="preserve">להגיע לפשרה, וזה מה שהבאתי, זה מה שהיה בהחלטה, זה מה </w:t>
      </w:r>
      <w:bookmarkStart w:id="192" w:name="_ETM_Q_390453"/>
      <w:bookmarkEnd w:id="192"/>
      <w:r w:rsidR="00501CE0">
        <w:rPr>
          <w:rFonts w:ascii="Arial" w:hAnsi="Arial" w:cs="David"/>
          <w:sz w:val="24"/>
          <w:szCs w:val="24"/>
          <w:u w:val="none"/>
          <w:rtl/>
        </w:rPr>
        <w:t xml:space="preserve">שעשיתי, </w:t>
      </w:r>
      <w:r w:rsidR="00501CE0">
        <w:rPr>
          <w:rFonts w:ascii="Arial" w:hAnsi="Arial" w:cs="David"/>
          <w:sz w:val="24"/>
          <w:szCs w:val="24"/>
          <w:rtl/>
        </w:rPr>
        <w:t>רואה החשבון כתב מה השווי, כמה</w:t>
      </w:r>
      <w:bookmarkStart w:id="193" w:name="_ETM_Q_392694"/>
      <w:bookmarkEnd w:id="193"/>
      <w:r w:rsidR="00501CE0">
        <w:rPr>
          <w:rFonts w:ascii="Arial" w:hAnsi="Arial" w:cs="David"/>
          <w:sz w:val="24"/>
          <w:szCs w:val="24"/>
          <w:rtl/>
        </w:rPr>
        <w:t xml:space="preserve"> הלוואות יש לי בחברה, מה הסכום של ההלוואות שיש</w:t>
      </w:r>
      <w:bookmarkStart w:id="194" w:name="_ETM_Q_394553"/>
      <w:bookmarkEnd w:id="194"/>
      <w:r w:rsidR="00501CE0">
        <w:rPr>
          <w:rFonts w:ascii="Arial" w:hAnsi="Arial" w:cs="David"/>
          <w:sz w:val="24"/>
          <w:szCs w:val="24"/>
          <w:rtl/>
        </w:rPr>
        <w:t xml:space="preserve"> לי בחברה</w:t>
      </w:r>
      <w:r w:rsidR="00501CE0">
        <w:rPr>
          <w:rFonts w:ascii="Arial" w:hAnsi="Arial" w:cs="David"/>
          <w:sz w:val="24"/>
          <w:szCs w:val="24"/>
          <w:u w:val="none"/>
          <w:rtl/>
        </w:rPr>
        <w:t xml:space="preserve">. זה הגשתי בהרצאת פרטים, אישור עדכני, אפילו לא </w:t>
      </w:r>
      <w:bookmarkStart w:id="195" w:name="_ETM_Q_399592"/>
      <w:bookmarkEnd w:id="195"/>
      <w:r w:rsidR="00501CE0">
        <w:rPr>
          <w:rFonts w:ascii="Arial" w:hAnsi="Arial" w:cs="David"/>
          <w:sz w:val="24"/>
          <w:szCs w:val="24"/>
          <w:u w:val="none"/>
          <w:rtl/>
        </w:rPr>
        <w:t xml:space="preserve">מבוקר, ואפילו, </w:t>
      </w:r>
      <w:r w:rsidR="00501CE0">
        <w:rPr>
          <w:rFonts w:ascii="Arial" w:hAnsi="Arial" w:cs="David"/>
          <w:sz w:val="24"/>
          <w:szCs w:val="24"/>
          <w:rtl/>
        </w:rPr>
        <w:t xml:space="preserve">וגם פירטנו מה הדו"ח השנתי הרווחים או העודפים </w:t>
      </w:r>
      <w:bookmarkStart w:id="196" w:name="_ETM_Q_405736"/>
      <w:bookmarkEnd w:id="196"/>
      <w:r w:rsidR="00501CE0">
        <w:rPr>
          <w:rFonts w:ascii="Arial" w:hAnsi="Arial" w:cs="David"/>
          <w:sz w:val="24"/>
          <w:szCs w:val="24"/>
          <w:rtl/>
        </w:rPr>
        <w:t xml:space="preserve">שיש בחברה לפי הדו"ח המבוקר האחרון כפי שדווח ותוקצר לרשות </w:t>
      </w:r>
      <w:bookmarkStart w:id="197" w:name="_ETM_Q_410406"/>
      <w:bookmarkEnd w:id="197"/>
      <w:r w:rsidR="00501CE0">
        <w:rPr>
          <w:rFonts w:ascii="Arial" w:hAnsi="Arial" w:cs="David"/>
          <w:sz w:val="24"/>
          <w:szCs w:val="24"/>
          <w:rtl/>
        </w:rPr>
        <w:t>המיסים. אין פה מה להסתיר, זה הנתונים</w:t>
      </w:r>
      <w:r w:rsidR="00501CE0">
        <w:rPr>
          <w:rFonts w:ascii="Arial" w:hAnsi="Arial" w:cs="David"/>
          <w:sz w:val="24"/>
          <w:szCs w:val="24"/>
          <w:u w:val="none"/>
          <w:rtl/>
        </w:rPr>
        <w:t>."</w:t>
      </w:r>
    </w:p>
    <w:p w:rsidR="00501CE0" w:rsidRDefault="00501CE0" w:rsidP="00501CE0">
      <w:pPr>
        <w:pStyle w:val="af"/>
        <w:spacing w:after="0" w:line="360" w:lineRule="auto"/>
        <w:ind w:left="651"/>
        <w:jc w:val="both"/>
        <w:rPr>
          <w:rFonts w:ascii="Arial" w:hAnsi="Arial" w:cs="David"/>
          <w:sz w:val="24"/>
          <w:szCs w:val="24"/>
          <w:rtl/>
        </w:rPr>
      </w:pPr>
      <w:r>
        <w:rPr>
          <w:rFonts w:ascii="Arial" w:hAnsi="Arial" w:cs="David"/>
          <w:sz w:val="24"/>
          <w:szCs w:val="24"/>
          <w:rtl/>
        </w:rPr>
        <w:t>(ראו פרוטוקול מיום 23.11.2020 עמ' 14 שו' 4-20)</w:t>
      </w:r>
    </w:p>
    <w:p w:rsidR="00501CE0" w:rsidRDefault="00501CE0" w:rsidP="00501CE0">
      <w:pPr>
        <w:pStyle w:val="af"/>
        <w:spacing w:after="0" w:line="360" w:lineRule="auto"/>
        <w:ind w:left="651"/>
        <w:jc w:val="both"/>
        <w:rPr>
          <w:rFonts w:ascii="Arial" w:hAnsi="Arial" w:cs="David"/>
          <w:sz w:val="24"/>
          <w:szCs w:val="24"/>
          <w:rtl/>
        </w:rPr>
      </w:pPr>
    </w:p>
    <w:p w:rsidR="00501CE0" w:rsidRDefault="00501CE0" w:rsidP="00501CE0">
      <w:pPr>
        <w:pStyle w:val="af"/>
        <w:numPr>
          <w:ilvl w:val="0"/>
          <w:numId w:val="1"/>
        </w:numPr>
        <w:spacing w:after="0" w:line="360" w:lineRule="auto"/>
        <w:jc w:val="both"/>
        <w:rPr>
          <w:rFonts w:ascii="David" w:hAnsi="David" w:cs="David"/>
          <w:sz w:val="24"/>
          <w:szCs w:val="24"/>
        </w:rPr>
      </w:pPr>
      <w:r>
        <w:rPr>
          <w:rFonts w:ascii="David" w:hAnsi="David" w:cs="David"/>
          <w:sz w:val="24"/>
          <w:szCs w:val="24"/>
          <w:rtl/>
        </w:rPr>
        <w:t>באשר להלוואת בעלים שנטל האיש מהחברה שבבעלותו השיב לשאלות ב"כ האישה:</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Pr>
      </w:pPr>
      <w:r>
        <w:rPr>
          <w:rFonts w:ascii="Arial" w:hAnsi="Arial" w:cs="David"/>
          <w:sz w:val="24"/>
          <w:szCs w:val="24"/>
          <w:u w:val="none"/>
          <w:rtl/>
        </w:rPr>
        <w:t>"ש:</w:t>
      </w:r>
      <w:r>
        <w:rPr>
          <w:rFonts w:ascii="Arial" w:hAnsi="Arial" w:cs="David"/>
          <w:sz w:val="24"/>
          <w:szCs w:val="24"/>
          <w:rtl/>
        </w:rPr>
        <w:t>כתוב במכתב מרואה החשבון שלך שלקחת</w:t>
      </w:r>
      <w:bookmarkStart w:id="198" w:name="_ETM_Q_431533"/>
      <w:bookmarkEnd w:id="198"/>
      <w:r>
        <w:rPr>
          <w:rFonts w:ascii="Arial" w:hAnsi="Arial" w:cs="David"/>
          <w:sz w:val="24"/>
          <w:szCs w:val="24"/>
          <w:rtl/>
        </w:rPr>
        <w:t xml:space="preserve"> הלוואת בעלים</w:t>
      </w:r>
      <w:r>
        <w:rPr>
          <w:rFonts w:ascii="Arial" w:hAnsi="Arial" w:cs="David"/>
          <w:sz w:val="24"/>
          <w:szCs w:val="24"/>
          <w:u w:val="none"/>
          <w:rtl/>
        </w:rPr>
        <w:t>.</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r>
        <w:rPr>
          <w:rFonts w:ascii="Arial" w:hAnsi="Arial" w:cs="David"/>
          <w:sz w:val="24"/>
          <w:szCs w:val="24"/>
          <w:u w:val="none"/>
          <w:rtl/>
        </w:rPr>
        <w:t>ת: כתוב בכל התביעה, שאני מושך כל,</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ש: </w:t>
      </w:r>
      <w:r>
        <w:rPr>
          <w:rFonts w:ascii="Arial" w:hAnsi="Arial" w:cs="David"/>
          <w:sz w:val="24"/>
          <w:szCs w:val="24"/>
          <w:rtl/>
        </w:rPr>
        <w:t xml:space="preserve">אני שואלת מאיזה </w:t>
      </w:r>
      <w:bookmarkStart w:id="199" w:name="_ETM_Q_435152"/>
      <w:bookmarkEnd w:id="199"/>
      <w:r>
        <w:rPr>
          <w:rFonts w:ascii="Arial" w:hAnsi="Arial" w:cs="David"/>
          <w:sz w:val="24"/>
          <w:szCs w:val="24"/>
          <w:rtl/>
        </w:rPr>
        <w:t>חשבון יורדת ההלוואה הזו? מהחשבון העסקי</w:t>
      </w:r>
      <w:r>
        <w:rPr>
          <w:rFonts w:ascii="Arial" w:hAnsi="Arial" w:cs="David"/>
          <w:sz w:val="24"/>
          <w:szCs w:val="24"/>
          <w:u w:val="none"/>
          <w:rtl/>
        </w:rPr>
        <w:t>?</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r>
        <w:rPr>
          <w:rFonts w:ascii="Arial" w:hAnsi="Arial" w:cs="David"/>
          <w:sz w:val="24"/>
          <w:szCs w:val="24"/>
          <w:u w:val="none"/>
          <w:rtl/>
        </w:rPr>
        <w:t>ת: בכל חודש, רשום בתביעה, לא</w:t>
      </w:r>
      <w:bookmarkStart w:id="200" w:name="_ETM_Q_439864"/>
      <w:bookmarkEnd w:id="200"/>
      <w:r>
        <w:rPr>
          <w:rFonts w:ascii="Arial" w:hAnsi="Arial" w:cs="David"/>
          <w:sz w:val="24"/>
          <w:szCs w:val="24"/>
          <w:u w:val="none"/>
          <w:rtl/>
        </w:rPr>
        <w:t xml:space="preserve"> רק (לא ברור), אני בעצמי הצהרתי ויש, רואים את זה </w:t>
      </w:r>
      <w:bookmarkStart w:id="201" w:name="_ETM_Q_443257"/>
      <w:bookmarkEnd w:id="201"/>
      <w:r>
        <w:rPr>
          <w:rFonts w:ascii="Arial" w:hAnsi="Arial" w:cs="David"/>
          <w:sz w:val="24"/>
          <w:szCs w:val="24"/>
          <w:u w:val="none"/>
          <w:rtl/>
        </w:rPr>
        <w:t>גם בדפי החשבון, שאני לוקח עוד 3,500 ₪ הלוואה</w:t>
      </w:r>
      <w:bookmarkStart w:id="202" w:name="_ETM_Q_445066"/>
      <w:bookmarkEnd w:id="202"/>
      <w:r>
        <w:rPr>
          <w:rFonts w:ascii="Arial" w:hAnsi="Arial" w:cs="David"/>
          <w:sz w:val="24"/>
          <w:szCs w:val="24"/>
          <w:u w:val="none"/>
          <w:rtl/>
        </w:rPr>
        <w:t xml:space="preserve"> מהחברה כל חודש כדי לכלכל את עצמי עם כל </w:t>
      </w:r>
      <w:bookmarkStart w:id="203" w:name="_ETM_Q_451646"/>
      <w:bookmarkEnd w:id="203"/>
      <w:r>
        <w:rPr>
          <w:rFonts w:ascii="Arial" w:hAnsi="Arial" w:cs="David"/>
          <w:sz w:val="24"/>
          <w:szCs w:val="24"/>
          <w:u w:val="none"/>
          <w:rtl/>
        </w:rPr>
        <w:t>המסביב.</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r>
        <w:rPr>
          <w:rFonts w:ascii="Arial" w:hAnsi="Arial" w:cs="David"/>
          <w:sz w:val="24"/>
          <w:szCs w:val="24"/>
          <w:u w:val="none"/>
          <w:rtl/>
        </w:rPr>
        <w:t>ש: רגע, יש במכתב הזה כתוב?</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r>
        <w:rPr>
          <w:rFonts w:ascii="Arial" w:hAnsi="Arial" w:cs="David"/>
          <w:sz w:val="24"/>
          <w:szCs w:val="24"/>
          <w:u w:val="none"/>
          <w:rtl/>
        </w:rPr>
        <w:t>ת: נכון.</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ש: </w:t>
      </w:r>
      <w:r>
        <w:rPr>
          <w:rFonts w:ascii="Arial" w:hAnsi="Arial" w:cs="David"/>
          <w:sz w:val="24"/>
          <w:szCs w:val="24"/>
          <w:rtl/>
        </w:rPr>
        <w:t>שיש 96,000 ₪ הלוואת בעלים,</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ת: </w:t>
      </w:r>
      <w:r>
        <w:rPr>
          <w:rFonts w:ascii="Arial" w:hAnsi="Arial" w:cs="David"/>
          <w:sz w:val="24"/>
          <w:szCs w:val="24"/>
          <w:rtl/>
        </w:rPr>
        <w:t xml:space="preserve">נכון. זה </w:t>
      </w:r>
      <w:bookmarkStart w:id="204" w:name="_ETM_Q_455795"/>
      <w:bookmarkEnd w:id="204"/>
      <w:r>
        <w:rPr>
          <w:rFonts w:ascii="Arial" w:hAnsi="Arial" w:cs="David"/>
          <w:sz w:val="24"/>
          <w:szCs w:val="24"/>
          <w:rtl/>
        </w:rPr>
        <w:t>הלוואה מצטברת</w:t>
      </w:r>
      <w:r>
        <w:rPr>
          <w:rFonts w:ascii="Arial" w:hAnsi="Arial" w:cs="David"/>
          <w:sz w:val="24"/>
          <w:szCs w:val="24"/>
          <w:u w:val="none"/>
          <w:rtl/>
        </w:rPr>
        <w:t>. שנייה,</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r>
        <w:rPr>
          <w:rFonts w:ascii="Arial" w:hAnsi="Arial" w:cs="David"/>
          <w:sz w:val="24"/>
          <w:szCs w:val="24"/>
          <w:u w:val="none"/>
          <w:rtl/>
        </w:rPr>
        <w:lastRenderedPageBreak/>
        <w:t>ש: באיזה שנה לקחת את ההלוואה הזו?</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ת: </w:t>
      </w:r>
      <w:r>
        <w:rPr>
          <w:rFonts w:ascii="Arial" w:hAnsi="Arial" w:cs="David"/>
          <w:sz w:val="24"/>
          <w:szCs w:val="24"/>
          <w:rtl/>
        </w:rPr>
        <w:t xml:space="preserve">שנייה, זה לא </w:t>
      </w:r>
      <w:bookmarkStart w:id="205" w:name="_ETM_Q_458924"/>
      <w:bookmarkEnd w:id="205"/>
      <w:r>
        <w:rPr>
          <w:rFonts w:ascii="Arial" w:hAnsi="Arial" w:cs="David"/>
          <w:sz w:val="24"/>
          <w:szCs w:val="24"/>
          <w:rtl/>
        </w:rPr>
        <w:t xml:space="preserve">הלוואה שלקחתי בבת אחת 96,000 </w:t>
      </w:r>
      <w:r>
        <w:rPr>
          <w:rFonts w:ascii="Arial" w:hAnsi="Arial" w:cs="David"/>
          <w:sz w:val="24"/>
          <w:szCs w:val="24"/>
          <w:u w:val="none"/>
          <w:rtl/>
        </w:rPr>
        <w:t>₪.</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r>
        <w:rPr>
          <w:rFonts w:ascii="Arial" w:hAnsi="Arial" w:cs="David"/>
          <w:sz w:val="24"/>
          <w:szCs w:val="24"/>
          <w:u w:val="none"/>
          <w:rtl/>
        </w:rPr>
        <w:t>ש: זה מה שכתוב כאן.</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r>
        <w:rPr>
          <w:rFonts w:ascii="Arial" w:hAnsi="Arial" w:cs="David"/>
          <w:sz w:val="24"/>
          <w:szCs w:val="24"/>
          <w:u w:val="none"/>
          <w:rtl/>
        </w:rPr>
        <w:t xml:space="preserve">ת: לא, זה הלוואה מצטברת שזה החובה שלי נכון ליום, מה שרשום </w:t>
      </w:r>
      <w:bookmarkStart w:id="206" w:name="_ETM_Q_468689"/>
      <w:bookmarkEnd w:id="206"/>
      <w:r>
        <w:rPr>
          <w:rFonts w:ascii="Arial" w:hAnsi="Arial" w:cs="David"/>
          <w:sz w:val="24"/>
          <w:szCs w:val="24"/>
          <w:u w:val="none"/>
          <w:rtl/>
        </w:rPr>
        <w:t xml:space="preserve">שם אני כבר לא זוכר, 31 ביולי אם אני לא </w:t>
      </w:r>
      <w:bookmarkStart w:id="207" w:name="_ETM_Q_470522"/>
      <w:bookmarkEnd w:id="207"/>
      <w:r>
        <w:rPr>
          <w:rFonts w:ascii="Arial" w:hAnsi="Arial" w:cs="David"/>
          <w:sz w:val="24"/>
          <w:szCs w:val="24"/>
          <w:u w:val="none"/>
          <w:rtl/>
        </w:rPr>
        <w:t>טועה,</w:t>
      </w:r>
    </w:p>
    <w:p w:rsidR="00501CE0" w:rsidRDefault="00501CE0" w:rsidP="00501CE0">
      <w:pPr>
        <w:pStyle w:val="ad"/>
        <w:shd w:val="clear" w:color="auto" w:fill="auto"/>
        <w:tabs>
          <w:tab w:val="left" w:pos="273"/>
        </w:tabs>
        <w:spacing w:line="360" w:lineRule="auto"/>
        <w:ind w:left="567" w:firstLine="0"/>
        <w:jc w:val="both"/>
        <w:rPr>
          <w:rFonts w:ascii="Arial" w:hAnsi="Arial" w:cs="David"/>
          <w:sz w:val="24"/>
          <w:szCs w:val="24"/>
          <w:u w:val="none"/>
          <w:rtl/>
        </w:rPr>
      </w:pPr>
      <w:r>
        <w:rPr>
          <w:rFonts w:ascii="Arial" w:hAnsi="Arial" w:cs="David"/>
          <w:sz w:val="24"/>
          <w:szCs w:val="24"/>
          <w:u w:val="none"/>
          <w:rtl/>
        </w:rPr>
        <w:t>ש: אני שואלת באיזה שנה לקחת אותה.</w:t>
      </w:r>
    </w:p>
    <w:p w:rsidR="00501CE0" w:rsidRDefault="00501CE0" w:rsidP="00501CE0">
      <w:pPr>
        <w:pStyle w:val="ad"/>
        <w:shd w:val="clear" w:color="auto" w:fill="auto"/>
        <w:tabs>
          <w:tab w:val="left" w:pos="273"/>
        </w:tabs>
        <w:spacing w:line="360" w:lineRule="auto"/>
        <w:ind w:left="567" w:firstLine="0"/>
        <w:jc w:val="both"/>
        <w:rPr>
          <w:rFonts w:ascii="Arial" w:hAnsi="Arial" w:cs="David"/>
          <w:b w:val="0"/>
          <w:bCs w:val="0"/>
          <w:sz w:val="24"/>
          <w:szCs w:val="24"/>
          <w:u w:val="none"/>
          <w:rtl/>
        </w:rPr>
      </w:pPr>
      <w:r>
        <w:rPr>
          <w:rFonts w:ascii="Arial" w:hAnsi="Arial" w:cs="David"/>
          <w:sz w:val="24"/>
          <w:szCs w:val="24"/>
          <w:u w:val="none"/>
          <w:rtl/>
        </w:rPr>
        <w:t xml:space="preserve">ת: ריבונו של עולם, אני עונה </w:t>
      </w:r>
      <w:bookmarkStart w:id="208" w:name="_ETM_Q_474936"/>
      <w:bookmarkEnd w:id="208"/>
      <w:r>
        <w:rPr>
          <w:rFonts w:ascii="Arial" w:hAnsi="Arial" w:cs="David"/>
          <w:sz w:val="24"/>
          <w:szCs w:val="24"/>
          <w:u w:val="none"/>
          <w:rtl/>
        </w:rPr>
        <w:t xml:space="preserve">לך. </w:t>
      </w:r>
      <w:r>
        <w:rPr>
          <w:rFonts w:ascii="Arial" w:hAnsi="Arial" w:cs="David"/>
          <w:sz w:val="24"/>
          <w:szCs w:val="24"/>
          <w:rtl/>
        </w:rPr>
        <w:t xml:space="preserve">ההלוואה הזאת זה סכום מצטבר, זה הסך הכל שאני </w:t>
      </w:r>
      <w:bookmarkStart w:id="209" w:name="_ETM_Q_478283"/>
      <w:bookmarkEnd w:id="209"/>
      <w:r>
        <w:rPr>
          <w:rFonts w:ascii="Arial" w:hAnsi="Arial" w:cs="David"/>
          <w:sz w:val="24"/>
          <w:szCs w:val="24"/>
          <w:rtl/>
        </w:rPr>
        <w:t>חייב לחברה. זה ה-3,500 ₪ שאני לוקח מעת לעת מהחברה</w:t>
      </w:r>
      <w:bookmarkStart w:id="210" w:name="_ETM_Q_484511"/>
      <w:bookmarkEnd w:id="210"/>
      <w:r>
        <w:rPr>
          <w:rFonts w:ascii="Arial" w:hAnsi="Arial" w:cs="David"/>
          <w:sz w:val="24"/>
          <w:szCs w:val="24"/>
          <w:u w:val="none"/>
          <w:rtl/>
        </w:rPr>
        <w:t xml:space="preserve">, אחרי שיש כל מיני התאמות עם כל מיני דברים </w:t>
      </w:r>
      <w:bookmarkStart w:id="211" w:name="_ETM_Q_486128"/>
      <w:bookmarkEnd w:id="211"/>
      <w:r>
        <w:rPr>
          <w:rFonts w:ascii="Arial" w:hAnsi="Arial" w:cs="David"/>
          <w:sz w:val="24"/>
          <w:szCs w:val="24"/>
          <w:u w:val="none"/>
          <w:rtl/>
        </w:rPr>
        <w:t xml:space="preserve">שאני משלם מהכיס שמתקזז. זה הסכום שאני חייב לחברה נכון </w:t>
      </w:r>
      <w:bookmarkStart w:id="212" w:name="_ETM_Q_489501"/>
      <w:bookmarkEnd w:id="212"/>
      <w:r>
        <w:rPr>
          <w:rFonts w:ascii="Arial" w:hAnsi="Arial" w:cs="David"/>
          <w:sz w:val="24"/>
          <w:szCs w:val="24"/>
          <w:u w:val="none"/>
          <w:rtl/>
        </w:rPr>
        <w:t xml:space="preserve">לתאריך שרשום שם. זה הסכום. מיום הקמת החברה, שלדעתי זה </w:t>
      </w:r>
      <w:bookmarkStart w:id="213" w:name="_ETM_Q_494972"/>
      <w:bookmarkEnd w:id="213"/>
      <w:r>
        <w:rPr>
          <w:rFonts w:ascii="Arial" w:hAnsi="Arial" w:cs="David"/>
          <w:sz w:val="24"/>
          <w:szCs w:val="24"/>
          <w:u w:val="none"/>
          <w:rtl/>
        </w:rPr>
        <w:t xml:space="preserve">01.06.2016, זה הסכום סך הכל נכון ליום האישור. זה מה </w:t>
      </w:r>
      <w:bookmarkStart w:id="214" w:name="_ETM_Q_498316"/>
      <w:bookmarkEnd w:id="214"/>
      <w:r>
        <w:rPr>
          <w:rFonts w:ascii="Arial" w:hAnsi="Arial" w:cs="David"/>
          <w:sz w:val="24"/>
          <w:szCs w:val="24"/>
          <w:u w:val="none"/>
          <w:rtl/>
        </w:rPr>
        <w:t>שרואה החשבון כתב."</w:t>
      </w:r>
      <w:r>
        <w:rPr>
          <w:rFonts w:ascii="Arial" w:hAnsi="Arial" w:cs="David"/>
          <w:b w:val="0"/>
          <w:bCs w:val="0"/>
          <w:sz w:val="24"/>
          <w:szCs w:val="24"/>
          <w:u w:val="none"/>
          <w:rtl/>
        </w:rPr>
        <w:t xml:space="preserve"> (ההדגשות בקו הוספו).</w:t>
      </w:r>
    </w:p>
    <w:p w:rsidR="00501CE0" w:rsidRDefault="00501CE0" w:rsidP="00501CE0">
      <w:pPr>
        <w:pStyle w:val="ad"/>
        <w:shd w:val="clear" w:color="auto" w:fill="auto"/>
        <w:tabs>
          <w:tab w:val="left" w:pos="273"/>
        </w:tabs>
        <w:spacing w:line="360" w:lineRule="auto"/>
        <w:ind w:left="567" w:firstLine="0"/>
        <w:jc w:val="both"/>
        <w:rPr>
          <w:rFonts w:ascii="Arial" w:hAnsi="Arial" w:cs="David"/>
          <w:b w:val="0"/>
          <w:bCs w:val="0"/>
          <w:sz w:val="24"/>
          <w:szCs w:val="24"/>
          <w:u w:val="none"/>
          <w:rtl/>
        </w:rPr>
      </w:pPr>
      <w:r>
        <w:rPr>
          <w:rFonts w:ascii="Arial" w:hAnsi="Arial" w:cs="David"/>
          <w:b w:val="0"/>
          <w:bCs w:val="0"/>
          <w:sz w:val="24"/>
          <w:szCs w:val="24"/>
          <w:u w:val="none"/>
          <w:rtl/>
        </w:rPr>
        <w:t>(ראו פרוטוקול מיום 23.11.2020 עמ' 14 שו' 28-33 וגם עמ' 15 שו' 1-15).</w:t>
      </w:r>
    </w:p>
    <w:p w:rsidR="00501CE0" w:rsidRDefault="00501CE0" w:rsidP="00501CE0">
      <w:pPr>
        <w:pStyle w:val="af"/>
        <w:spacing w:after="0" w:line="360" w:lineRule="auto"/>
        <w:ind w:left="651"/>
        <w:jc w:val="both"/>
        <w:rPr>
          <w:rFonts w:ascii="David" w:hAnsi="David" w:cs="David"/>
          <w:sz w:val="24"/>
          <w:szCs w:val="24"/>
          <w:rtl/>
        </w:rPr>
      </w:pPr>
    </w:p>
    <w:p w:rsidR="00501CE0" w:rsidRDefault="00501CE0" w:rsidP="00501CE0">
      <w:pPr>
        <w:pStyle w:val="af"/>
        <w:numPr>
          <w:ilvl w:val="0"/>
          <w:numId w:val="1"/>
        </w:numPr>
        <w:spacing w:after="0" w:line="360" w:lineRule="auto"/>
        <w:jc w:val="both"/>
        <w:rPr>
          <w:rFonts w:ascii="David" w:hAnsi="David" w:cs="David"/>
          <w:sz w:val="24"/>
          <w:szCs w:val="24"/>
        </w:rPr>
      </w:pPr>
      <w:r>
        <w:rPr>
          <w:rFonts w:ascii="David" w:hAnsi="David" w:cs="David"/>
          <w:sz w:val="24"/>
          <w:szCs w:val="24"/>
          <w:rtl/>
        </w:rPr>
        <w:t xml:space="preserve">למרות כל הראיות שהובאו לא ניתן היה לזקק נתונים פשוטים: מה הייתה הכנסת האיש בפסק הדין אל מול מה הכנסתו הנוכחית של האיש בהגשת התביעה. הוכחה זו הינה לפתחו בלבד. </w:t>
      </w:r>
    </w:p>
    <w:p w:rsidR="00501CE0" w:rsidRDefault="00501CE0" w:rsidP="00501CE0">
      <w:pPr>
        <w:pStyle w:val="af"/>
        <w:spacing w:after="0" w:line="360" w:lineRule="auto"/>
        <w:ind w:left="651"/>
        <w:jc w:val="both"/>
        <w:rPr>
          <w:rFonts w:ascii="David" w:hAnsi="David" w:cs="David"/>
          <w:sz w:val="24"/>
          <w:szCs w:val="24"/>
        </w:rPr>
      </w:pPr>
    </w:p>
    <w:p w:rsidR="00501CE0" w:rsidRDefault="00501CE0" w:rsidP="00501CE0">
      <w:pPr>
        <w:pStyle w:val="af"/>
        <w:numPr>
          <w:ilvl w:val="0"/>
          <w:numId w:val="1"/>
        </w:numPr>
        <w:spacing w:after="0" w:line="360" w:lineRule="auto"/>
        <w:jc w:val="both"/>
        <w:rPr>
          <w:rFonts w:ascii="David" w:hAnsi="David" w:cs="David"/>
          <w:sz w:val="24"/>
          <w:szCs w:val="24"/>
        </w:rPr>
      </w:pPr>
      <w:r>
        <w:rPr>
          <w:rFonts w:ascii="David" w:hAnsi="David" w:cs="David"/>
          <w:sz w:val="24"/>
          <w:szCs w:val="24"/>
          <w:rtl/>
        </w:rPr>
        <w:t>האיש אישר בחקירתו אישר לא חל שינוי לרעה במצבו הכלכלי מאז מתן פסק הדין (ראו: פרוטוקול הדיון מיום 23.11.2020 עמ' 17 שו' 26-27).</w:t>
      </w:r>
    </w:p>
    <w:p w:rsidR="00501CE0" w:rsidRDefault="00501CE0" w:rsidP="00501CE0">
      <w:pPr>
        <w:pStyle w:val="af"/>
        <w:rPr>
          <w:rFonts w:ascii="David" w:hAnsi="David" w:cs="David"/>
          <w:sz w:val="24"/>
          <w:szCs w:val="24"/>
        </w:rPr>
      </w:pPr>
    </w:p>
    <w:p w:rsidR="00501CE0" w:rsidRDefault="00501CE0" w:rsidP="00501CE0">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חקירת האב מעלה כי דפי החשבון שצירף האב אינם מציגים את כלל הכנסות האב.</w:t>
      </w:r>
    </w:p>
    <w:p w:rsidR="00501CE0" w:rsidRDefault="00501CE0" w:rsidP="00501CE0">
      <w:pPr>
        <w:pStyle w:val="af"/>
        <w:rPr>
          <w:rFonts w:ascii="David" w:hAnsi="David" w:cs="David"/>
          <w:sz w:val="24"/>
          <w:szCs w:val="24"/>
        </w:rPr>
      </w:pPr>
    </w:p>
    <w:p w:rsidR="00501CE0" w:rsidRDefault="00501CE0" w:rsidP="00501CE0">
      <w:pPr>
        <w:pStyle w:val="af"/>
        <w:numPr>
          <w:ilvl w:val="0"/>
          <w:numId w:val="1"/>
        </w:numPr>
        <w:spacing w:after="0" w:line="360" w:lineRule="auto"/>
        <w:jc w:val="both"/>
        <w:rPr>
          <w:rFonts w:ascii="David" w:hAnsi="David" w:cs="David"/>
          <w:sz w:val="24"/>
          <w:szCs w:val="24"/>
          <w:rtl/>
        </w:rPr>
      </w:pPr>
      <w:r>
        <w:rPr>
          <w:rFonts w:ascii="David" w:hAnsi="David" w:cs="David"/>
          <w:b/>
          <w:bCs/>
          <w:sz w:val="24"/>
          <w:szCs w:val="24"/>
          <w:rtl/>
        </w:rPr>
        <w:t>מנגד לטענת האישה</w:t>
      </w:r>
      <w:r>
        <w:rPr>
          <w:rFonts w:ascii="David" w:hAnsi="David" w:cs="David"/>
          <w:sz w:val="24"/>
          <w:szCs w:val="24"/>
          <w:rtl/>
        </w:rPr>
        <w:t xml:space="preserve">, מצבה הכלכלי כפי שהיה בעת מתן פסק הדין הורע משמעותית. </w:t>
      </w:r>
    </w:p>
    <w:p w:rsidR="00501CE0" w:rsidRDefault="00501CE0" w:rsidP="00501CE0">
      <w:pPr>
        <w:pStyle w:val="af"/>
        <w:spacing w:after="0" w:line="360" w:lineRule="auto"/>
        <w:ind w:left="651"/>
        <w:jc w:val="both"/>
        <w:rPr>
          <w:rFonts w:ascii="David" w:hAnsi="David" w:cs="David"/>
          <w:sz w:val="24"/>
          <w:szCs w:val="24"/>
        </w:rPr>
      </w:pPr>
    </w:p>
    <w:p w:rsidR="00501CE0" w:rsidRDefault="00501CE0" w:rsidP="00501CE0">
      <w:pPr>
        <w:pStyle w:val="af"/>
        <w:numPr>
          <w:ilvl w:val="0"/>
          <w:numId w:val="1"/>
        </w:numPr>
        <w:spacing w:after="0" w:line="360" w:lineRule="auto"/>
        <w:jc w:val="both"/>
        <w:rPr>
          <w:rFonts w:ascii="David" w:hAnsi="David" w:cs="David"/>
          <w:sz w:val="24"/>
          <w:szCs w:val="24"/>
        </w:rPr>
      </w:pPr>
      <w:r>
        <w:rPr>
          <w:rFonts w:ascii="David" w:hAnsi="David" w:cs="David"/>
          <w:b/>
          <w:bCs/>
          <w:sz w:val="24"/>
          <w:szCs w:val="24"/>
          <w:rtl/>
        </w:rPr>
        <w:t>לטענת האישה</w:t>
      </w:r>
      <w:r>
        <w:rPr>
          <w:rFonts w:ascii="David" w:hAnsi="David" w:cs="David"/>
          <w:sz w:val="24"/>
          <w:szCs w:val="24"/>
          <w:rtl/>
        </w:rPr>
        <w:t xml:space="preserve"> היא עובדת בעסקי המסעדנות אצל אביה במשרה חלקית ומרוויחה סך של 6,500 ₪ בחודש כאשר אביה מממן את יתר הדרוש עבור הוצאותיה והוצאות הקטינה.  בסעיף 60 לכתב התביעה, ציינה האישה כי אינה עובדת ומתקיימת מדמי חל"ת. </w:t>
      </w:r>
    </w:p>
    <w:p w:rsidR="00501CE0" w:rsidRDefault="00501CE0" w:rsidP="00501CE0">
      <w:pPr>
        <w:pStyle w:val="af"/>
        <w:rPr>
          <w:rFonts w:ascii="David" w:hAnsi="David" w:cs="David"/>
          <w:sz w:val="24"/>
          <w:szCs w:val="24"/>
        </w:rPr>
      </w:pPr>
    </w:p>
    <w:p w:rsidR="00501CE0" w:rsidRDefault="00501CE0" w:rsidP="00501CE0">
      <w:pPr>
        <w:pStyle w:val="af"/>
        <w:numPr>
          <w:ilvl w:val="0"/>
          <w:numId w:val="1"/>
        </w:numPr>
        <w:spacing w:after="0" w:line="360" w:lineRule="auto"/>
        <w:jc w:val="both"/>
        <w:rPr>
          <w:rFonts w:ascii="David" w:hAnsi="David" w:cs="David"/>
          <w:sz w:val="24"/>
          <w:szCs w:val="24"/>
          <w:rtl/>
        </w:rPr>
      </w:pPr>
      <w:r>
        <w:rPr>
          <w:rFonts w:ascii="David" w:hAnsi="David" w:cs="David"/>
          <w:b/>
          <w:bCs/>
          <w:sz w:val="24"/>
          <w:szCs w:val="24"/>
          <w:rtl/>
        </w:rPr>
        <w:t>לטענת האישה</w:t>
      </w:r>
      <w:r>
        <w:rPr>
          <w:rFonts w:ascii="David" w:hAnsi="David" w:cs="David"/>
          <w:sz w:val="24"/>
          <w:szCs w:val="24"/>
          <w:rtl/>
        </w:rPr>
        <w:t xml:space="preserve"> היא מתגוררת בבית צמוד קרקע הבנוי על מגרש שבבעלות אביה כאשר לבית זה צמודים שני בתים נוספים – בית אחד להוריה ובית נוסף בו מתגוררת אחותה. האישה מציינת כי לא מדובר בנכס בר מימוש הואיל ולא ניתן למכרו לאור האיסור של אביה. </w:t>
      </w:r>
    </w:p>
    <w:p w:rsidR="00501CE0" w:rsidRDefault="00501CE0" w:rsidP="00501CE0">
      <w:pPr>
        <w:pStyle w:val="af"/>
        <w:rPr>
          <w:rFonts w:ascii="David" w:hAnsi="David" w:cs="David"/>
          <w:sz w:val="24"/>
          <w:szCs w:val="24"/>
        </w:rPr>
      </w:pPr>
    </w:p>
    <w:p w:rsidR="00501CE0" w:rsidRDefault="00501CE0" w:rsidP="00501CE0">
      <w:pPr>
        <w:pStyle w:val="af"/>
        <w:numPr>
          <w:ilvl w:val="0"/>
          <w:numId w:val="1"/>
        </w:numPr>
        <w:spacing w:after="0" w:line="360" w:lineRule="auto"/>
        <w:jc w:val="both"/>
        <w:rPr>
          <w:rFonts w:ascii="David" w:hAnsi="David" w:cs="David"/>
          <w:sz w:val="24"/>
          <w:szCs w:val="24"/>
          <w:rtl/>
        </w:rPr>
      </w:pPr>
      <w:r>
        <w:rPr>
          <w:rFonts w:ascii="David" w:hAnsi="David" w:cs="David"/>
          <w:b/>
          <w:bCs/>
          <w:sz w:val="24"/>
          <w:szCs w:val="24"/>
          <w:rtl/>
        </w:rPr>
        <w:t>האישה מדגישה</w:t>
      </w:r>
      <w:r>
        <w:rPr>
          <w:rFonts w:ascii="David" w:hAnsi="David" w:cs="David"/>
          <w:sz w:val="24"/>
          <w:szCs w:val="24"/>
          <w:rtl/>
        </w:rPr>
        <w:t xml:space="preserve"> כי אביה תומך בה באופן מלא ואין לייחס לכך כהכנסה. </w:t>
      </w:r>
    </w:p>
    <w:p w:rsidR="00501CE0" w:rsidRDefault="00501CE0" w:rsidP="00501CE0">
      <w:pPr>
        <w:pStyle w:val="af"/>
        <w:rPr>
          <w:rFonts w:ascii="David" w:hAnsi="David" w:cs="David"/>
          <w:sz w:val="24"/>
          <w:szCs w:val="24"/>
        </w:rPr>
      </w:pPr>
    </w:p>
    <w:p w:rsidR="00501CE0" w:rsidRDefault="00501CE0" w:rsidP="00501CE0">
      <w:pPr>
        <w:pStyle w:val="af"/>
        <w:numPr>
          <w:ilvl w:val="0"/>
          <w:numId w:val="1"/>
        </w:numPr>
        <w:spacing w:after="0" w:line="360" w:lineRule="auto"/>
        <w:jc w:val="both"/>
        <w:rPr>
          <w:rFonts w:ascii="David" w:hAnsi="David" w:cs="David"/>
          <w:sz w:val="24"/>
          <w:szCs w:val="24"/>
          <w:rtl/>
        </w:rPr>
      </w:pPr>
      <w:r>
        <w:rPr>
          <w:rFonts w:ascii="David" w:hAnsi="David" w:cs="David"/>
          <w:b/>
          <w:bCs/>
          <w:sz w:val="24"/>
          <w:szCs w:val="24"/>
          <w:rtl/>
        </w:rPr>
        <w:lastRenderedPageBreak/>
        <w:t>האישה אישרה בחקירתה</w:t>
      </w:r>
      <w:r>
        <w:rPr>
          <w:rFonts w:ascii="David" w:hAnsi="David" w:cs="David"/>
          <w:sz w:val="24"/>
          <w:szCs w:val="24"/>
          <w:rtl/>
        </w:rPr>
        <w:t xml:space="preserve"> כי היא עובדת בחברה שבבעלות אביה בשעות שאינן מוגדרות ובנוסף לשכרה ע"ס 6,500 ₪ מקבלת עזרה מאביה (ראו פרוטוקול מיום 4.11.2021 עמ' 19 שו' 12-34 וגם עמ' 20 שו' 1-7). </w:t>
      </w:r>
    </w:p>
    <w:p w:rsidR="00501CE0" w:rsidRDefault="00501CE0" w:rsidP="00501CE0">
      <w:pPr>
        <w:pStyle w:val="af"/>
        <w:rPr>
          <w:rFonts w:ascii="David" w:hAnsi="David" w:cs="David"/>
          <w:sz w:val="24"/>
          <w:szCs w:val="24"/>
        </w:rPr>
      </w:pPr>
    </w:p>
    <w:p w:rsidR="00501CE0" w:rsidRDefault="00501CE0" w:rsidP="00501CE0">
      <w:pPr>
        <w:pStyle w:val="af"/>
        <w:numPr>
          <w:ilvl w:val="0"/>
          <w:numId w:val="1"/>
        </w:numPr>
        <w:spacing w:after="0" w:line="360" w:lineRule="auto"/>
        <w:jc w:val="both"/>
        <w:rPr>
          <w:rFonts w:ascii="David" w:hAnsi="David" w:cs="David"/>
          <w:sz w:val="24"/>
          <w:szCs w:val="24"/>
          <w:rtl/>
        </w:rPr>
      </w:pPr>
      <w:r>
        <w:rPr>
          <w:rFonts w:ascii="David" w:hAnsi="David" w:cs="David"/>
          <w:b/>
          <w:bCs/>
          <w:sz w:val="24"/>
          <w:szCs w:val="24"/>
          <w:rtl/>
        </w:rPr>
        <w:t>האישה</w:t>
      </w:r>
      <w:r>
        <w:rPr>
          <w:rFonts w:ascii="David" w:hAnsi="David" w:cs="David"/>
          <w:sz w:val="24"/>
          <w:szCs w:val="24"/>
          <w:rtl/>
        </w:rPr>
        <w:t xml:space="preserve"> מציינת בכתב הגנתה כי בנוסף לקטינה, יש לה תינוק נוסף, פעוט כבן שנה (נכון למועד הגשת כתב ההגנה) המגדלת אותו בגפה. כפי שציינה ב"כ האיש ובצדק הבאת תינוק נוסף לעולם אינה מהווה טענה לשינוי מצב כלכלי. </w:t>
      </w:r>
    </w:p>
    <w:p w:rsidR="00501CE0" w:rsidRDefault="00501CE0" w:rsidP="00501CE0">
      <w:pPr>
        <w:pStyle w:val="af"/>
        <w:rPr>
          <w:rFonts w:ascii="David" w:hAnsi="David" w:cs="David"/>
          <w:sz w:val="24"/>
          <w:szCs w:val="24"/>
        </w:rPr>
      </w:pPr>
    </w:p>
    <w:p w:rsidR="00501CE0" w:rsidRDefault="00501CE0" w:rsidP="007926FD">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באשר לטענות האיש כי האישה שותפה בחשבון הדודה </w:t>
      </w:r>
      <w:r w:rsidR="007926FD">
        <w:rPr>
          <w:rFonts w:ascii="David" w:hAnsi="David" w:cs="David" w:hint="cs"/>
          <w:sz w:val="24"/>
          <w:szCs w:val="24"/>
          <w:rtl/>
        </w:rPr>
        <w:t>***</w:t>
      </w:r>
      <w:r>
        <w:rPr>
          <w:rFonts w:ascii="David" w:hAnsi="David" w:cs="David"/>
          <w:sz w:val="24"/>
          <w:szCs w:val="24"/>
          <w:rtl/>
        </w:rPr>
        <w:t xml:space="preserve">, הדבר לא הוכחש ע"י אביה של האישה בחקירתו שאישר כי הוא ובתו (האישה) שותפים בחשבונה לפני כ -8 שנים כדי לסייע לה בטיפולה ובהוצאות הכרוכות בכך (ראו פרוטוקול מיום 23.11.2020 עמ' 38 שו' 1-10). </w:t>
      </w:r>
    </w:p>
    <w:p w:rsidR="00501CE0" w:rsidRDefault="00501CE0" w:rsidP="00501CE0">
      <w:pPr>
        <w:pStyle w:val="af"/>
        <w:rPr>
          <w:rFonts w:ascii="David" w:hAnsi="David" w:cs="David"/>
          <w:sz w:val="24"/>
          <w:szCs w:val="24"/>
        </w:rPr>
      </w:pPr>
    </w:p>
    <w:p w:rsidR="00501CE0" w:rsidRDefault="00501CE0" w:rsidP="007926FD">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גם האישה אישרה בחקירתה באשר לרישומה כבעלים נוסף לאביה בחשבון הדודה </w:t>
      </w:r>
      <w:r w:rsidR="007926FD">
        <w:rPr>
          <w:rFonts w:ascii="David" w:hAnsi="David" w:cs="David" w:hint="cs"/>
          <w:sz w:val="24"/>
          <w:szCs w:val="24"/>
          <w:rtl/>
        </w:rPr>
        <w:t>***</w:t>
      </w:r>
      <w:r w:rsidR="007926FD">
        <w:rPr>
          <w:rFonts w:ascii="David" w:hAnsi="David" w:cs="David"/>
          <w:sz w:val="24"/>
          <w:szCs w:val="24"/>
          <w:rtl/>
        </w:rPr>
        <w:t xml:space="preserve"> </w:t>
      </w:r>
      <w:r>
        <w:rPr>
          <w:rFonts w:ascii="David" w:hAnsi="David" w:cs="David"/>
          <w:sz w:val="24"/>
          <w:szCs w:val="24"/>
          <w:rtl/>
        </w:rPr>
        <w:t xml:space="preserve">וזאת על מנת בענייניה כאשר אביה לא יהיה בארץ או כשלא יוכל לטפל. האישה ציינה בחקירתה כי דודתה הלכה לבית עולמה (ראו פרוטוקול מיום 4.11.2021 עמ' 24 שו' 25-33). </w:t>
      </w:r>
    </w:p>
    <w:p w:rsidR="00501CE0" w:rsidRDefault="00501CE0" w:rsidP="00501CE0">
      <w:pPr>
        <w:pStyle w:val="af"/>
        <w:spacing w:after="0" w:line="360" w:lineRule="auto"/>
        <w:ind w:left="651"/>
        <w:jc w:val="both"/>
        <w:rPr>
          <w:rFonts w:ascii="David" w:hAnsi="David" w:cs="David"/>
          <w:sz w:val="24"/>
          <w:szCs w:val="24"/>
        </w:rPr>
      </w:pPr>
      <w:r>
        <w:rPr>
          <w:rFonts w:ascii="David" w:hAnsi="David" w:cs="David"/>
          <w:sz w:val="24"/>
          <w:szCs w:val="24"/>
          <w:rtl/>
        </w:rPr>
        <w:t xml:space="preserve"> </w:t>
      </w:r>
    </w:p>
    <w:p w:rsidR="00501CE0" w:rsidRDefault="00501CE0" w:rsidP="00501CE0">
      <w:pPr>
        <w:pStyle w:val="af"/>
        <w:numPr>
          <w:ilvl w:val="0"/>
          <w:numId w:val="1"/>
        </w:numPr>
        <w:spacing w:after="0" w:line="360" w:lineRule="auto"/>
        <w:jc w:val="both"/>
        <w:rPr>
          <w:rFonts w:ascii="David" w:hAnsi="David" w:cs="David"/>
          <w:sz w:val="24"/>
          <w:szCs w:val="24"/>
        </w:rPr>
      </w:pPr>
      <w:r>
        <w:rPr>
          <w:rFonts w:ascii="David" w:hAnsi="David" w:cs="David"/>
          <w:sz w:val="24"/>
          <w:szCs w:val="24"/>
          <w:rtl/>
        </w:rPr>
        <w:t xml:space="preserve">האב טען כי מצבה הכלכלי של האם טוב משלו ועל כן זו נסיבה </w:t>
      </w:r>
      <w:r>
        <w:rPr>
          <w:rFonts w:ascii="David" w:hAnsi="David" w:cs="David"/>
          <w:sz w:val="24"/>
          <w:szCs w:val="24"/>
          <w:u w:val="single"/>
          <w:rtl/>
        </w:rPr>
        <w:t>שדי בה</w:t>
      </w:r>
      <w:r>
        <w:rPr>
          <w:rFonts w:ascii="David" w:hAnsi="David" w:cs="David"/>
          <w:sz w:val="24"/>
          <w:szCs w:val="24"/>
          <w:rtl/>
        </w:rPr>
        <w:t xml:space="preserve"> להפחתת תשלום המזונות עד כדי ביטולו. בעמ"ש (ת"א) 22962-03-20 </w:t>
      </w:r>
      <w:r>
        <w:rPr>
          <w:rFonts w:ascii="Miriam" w:hAnsi="Miriam" w:cs="Miriam"/>
          <w:sz w:val="24"/>
          <w:szCs w:val="24"/>
          <w:rtl/>
        </w:rPr>
        <w:t>פלוני נ' פלונית</w:t>
      </w:r>
      <w:r>
        <w:rPr>
          <w:rFonts w:ascii="David" w:hAnsi="David" w:cs="David"/>
          <w:sz w:val="24"/>
          <w:szCs w:val="24"/>
          <w:rtl/>
        </w:rPr>
        <w:t xml:space="preserve"> (30.3.2021), צויין מפורשות כי כי אין די בטענה לעלייה בהכנסות האם, שעה שהוכחה עלייה בהכנסות האב ושעה שהאב לא הוכיח בצורה מספקת את תביעתו: </w:t>
      </w:r>
    </w:p>
    <w:p w:rsidR="00501CE0" w:rsidRDefault="00501CE0" w:rsidP="00501CE0">
      <w:pPr>
        <w:pStyle w:val="af"/>
        <w:rPr>
          <w:rFonts w:ascii="David" w:hAnsi="David" w:cs="David"/>
          <w:sz w:val="24"/>
          <w:szCs w:val="24"/>
          <w:rtl/>
        </w:rPr>
      </w:pPr>
    </w:p>
    <w:p w:rsidR="00501CE0" w:rsidRDefault="00501CE0" w:rsidP="00501CE0">
      <w:pPr>
        <w:pStyle w:val="af"/>
        <w:spacing w:line="360" w:lineRule="auto"/>
        <w:ind w:left="567"/>
        <w:jc w:val="both"/>
        <w:rPr>
          <w:rFonts w:ascii="David" w:hAnsi="David" w:cs="David"/>
          <w:sz w:val="24"/>
          <w:szCs w:val="24"/>
        </w:rPr>
      </w:pPr>
      <w:r>
        <w:rPr>
          <w:rFonts w:ascii="David" w:hAnsi="David" w:cs="David"/>
          <w:b/>
          <w:bCs/>
          <w:sz w:val="24"/>
          <w:szCs w:val="24"/>
          <w:rtl/>
        </w:rPr>
        <w:t xml:space="preserve">"ההלכה שנקבעה בבע"מ 7670/18, בדבר ההשלכות הילכת בע"מ 919/15 על תביעות לשינוי חיובי מזונות מדגישה, ביתר שאת את שהיה נהוג לפניה, כי </w:t>
      </w:r>
      <w:r>
        <w:rPr>
          <w:rFonts w:ascii="David" w:hAnsi="David" w:cs="David"/>
          <w:b/>
          <w:bCs/>
          <w:sz w:val="24"/>
          <w:szCs w:val="24"/>
          <w:u w:val="single"/>
          <w:rtl/>
        </w:rPr>
        <w:t>אין לבחון את השינוי הנטען, לצורך הכרעה בתביעה שהוגשה, במבודד משינויים אחרים שחלו ואשר יכול שיהיה בהם כדי להצדיק את הותרת החיוב על כנו חרף הוכחת השינוי הנטען. כך למשל עלייה בהכנסות האם כעילה להפחתת החיוב לא תחייב הפחתתו אם במקביל חלה עלייה בהכנסות האב. לפיכך, טענה של האב כי אין הוא טוען להרעה בהכנסותיו כעילה להפחתת המזונות לא פוטרת אותו מלהניח לפי בית משפט קמא, אף כחלק מחובת הגילוי ותום הלב</w:t>
      </w:r>
      <w:r>
        <w:rPr>
          <w:rFonts w:ascii="David" w:hAnsi="David" w:cs="David"/>
          <w:b/>
          <w:bCs/>
          <w:sz w:val="24"/>
          <w:szCs w:val="24"/>
          <w:rtl/>
        </w:rPr>
        <w:t xml:space="preserve">, את מצב הכנסותיו לעת הגשת התביעה להפחתה וגם טענה מוכחת להרעה בהכנסותיו לא תחייב, בהכרח, הפחתה של המזונות אם יוכח מנגד שינוי כלפי מעלה בצרכי הילדים והרעה בהכנסות האם הגם שייתכנו מצבים, שבשל השינויים שחלו יעלה הצורך 'לארגן' מחדש את מערך הצרכים והחיובים בתא המשפחתי". </w:t>
      </w:r>
      <w:r>
        <w:rPr>
          <w:rFonts w:ascii="David" w:hAnsi="David" w:cs="David"/>
          <w:sz w:val="24"/>
          <w:szCs w:val="24"/>
          <w:rtl/>
        </w:rPr>
        <w:t>(ההדגשה בקו - הוספה).</w:t>
      </w:r>
      <w:r>
        <w:rPr>
          <w:rFonts w:ascii="David" w:hAnsi="David" w:cs="David"/>
          <w:b/>
          <w:bCs/>
          <w:sz w:val="24"/>
          <w:szCs w:val="24"/>
          <w:rtl/>
        </w:rPr>
        <w:t xml:space="preserve"> </w:t>
      </w:r>
      <w:r>
        <w:rPr>
          <w:rFonts w:ascii="David" w:hAnsi="David" w:cs="David"/>
          <w:sz w:val="24"/>
          <w:szCs w:val="24"/>
          <w:rtl/>
        </w:rPr>
        <w:t>(פסק דינו של כ' השופט שוחט).</w:t>
      </w:r>
    </w:p>
    <w:p w:rsidR="00501CE0" w:rsidRDefault="00501CE0" w:rsidP="00501CE0">
      <w:pPr>
        <w:pStyle w:val="af"/>
        <w:spacing w:line="360" w:lineRule="auto"/>
        <w:ind w:left="567"/>
        <w:jc w:val="both"/>
        <w:rPr>
          <w:rFonts w:ascii="David" w:hAnsi="David" w:cs="David"/>
          <w:sz w:val="24"/>
          <w:szCs w:val="24"/>
          <w:rtl/>
        </w:rPr>
      </w:pPr>
    </w:p>
    <w:p w:rsidR="00661A3A" w:rsidRDefault="00661A3A" w:rsidP="00501CE0">
      <w:pPr>
        <w:pStyle w:val="af"/>
        <w:spacing w:line="360" w:lineRule="auto"/>
        <w:ind w:left="567"/>
        <w:jc w:val="both"/>
        <w:rPr>
          <w:rFonts w:ascii="David" w:hAnsi="David" w:cs="David"/>
          <w:sz w:val="24"/>
          <w:szCs w:val="24"/>
          <w:rtl/>
        </w:rPr>
      </w:pPr>
    </w:p>
    <w:p w:rsidR="00661A3A" w:rsidRDefault="00661A3A" w:rsidP="00501CE0">
      <w:pPr>
        <w:pStyle w:val="af"/>
        <w:spacing w:line="360" w:lineRule="auto"/>
        <w:ind w:left="567"/>
        <w:jc w:val="both"/>
        <w:rPr>
          <w:rFonts w:ascii="David" w:hAnsi="David" w:cs="David"/>
          <w:sz w:val="24"/>
          <w:szCs w:val="24"/>
          <w:rtl/>
        </w:rPr>
      </w:pPr>
    </w:p>
    <w:p w:rsidR="00501CE0" w:rsidRDefault="00501CE0" w:rsidP="00501CE0">
      <w:pPr>
        <w:pStyle w:val="af"/>
        <w:spacing w:line="360" w:lineRule="auto"/>
        <w:ind w:left="567"/>
        <w:jc w:val="both"/>
        <w:rPr>
          <w:rFonts w:ascii="David" w:hAnsi="David" w:cs="David"/>
          <w:sz w:val="24"/>
          <w:szCs w:val="24"/>
          <w:rtl/>
        </w:rPr>
      </w:pPr>
      <w:r>
        <w:rPr>
          <w:rFonts w:ascii="David" w:hAnsi="David" w:cs="David"/>
          <w:sz w:val="24"/>
          <w:szCs w:val="24"/>
          <w:rtl/>
        </w:rPr>
        <w:lastRenderedPageBreak/>
        <w:t>בהמשך פסק הדין צויין מפורשות כי גם אם הכנסות הצד השני גדלו אולם לא הוכחה מלוא התמונה של התובע – לא ינתן הסעד שהתבקש בתביעה:</w:t>
      </w:r>
    </w:p>
    <w:p w:rsidR="00501CE0" w:rsidRDefault="00501CE0" w:rsidP="00501CE0">
      <w:pPr>
        <w:pStyle w:val="af"/>
        <w:spacing w:line="360" w:lineRule="auto"/>
        <w:ind w:left="567"/>
        <w:jc w:val="both"/>
        <w:rPr>
          <w:rFonts w:ascii="David" w:hAnsi="David" w:cs="David"/>
          <w:b/>
          <w:bCs/>
          <w:sz w:val="24"/>
          <w:szCs w:val="24"/>
          <w:rtl/>
        </w:rPr>
      </w:pPr>
      <w:r>
        <w:rPr>
          <w:rFonts w:ascii="David" w:hAnsi="David" w:cs="David"/>
          <w:b/>
          <w:bCs/>
          <w:sz w:val="24"/>
          <w:szCs w:val="24"/>
          <w:rtl/>
        </w:rPr>
        <w:t>"</w:t>
      </w:r>
      <w:r>
        <w:rPr>
          <w:rFonts w:ascii="David" w:hAnsi="David" w:cs="David"/>
          <w:b/>
          <w:bCs/>
          <w:sz w:val="24"/>
          <w:szCs w:val="24"/>
          <w:u w:val="single"/>
          <w:rtl/>
        </w:rPr>
        <w:t>יידע כל מי שתובע הקטנת מזונות, שאם יתברר שפעל שלא בתום לב ולא הציג את מלוא התמונה אודות הכנסותיו ורכושו באופן כן ואמתי, וקל וחומר אם ביצע "תרגילים חשבונאיים", שביהמ"ש לא ישעה לתביעתו, אף אם יוכח שהכנסות הצד שכנגד גדלו.</w:t>
      </w:r>
      <w:r>
        <w:rPr>
          <w:rFonts w:ascii="David" w:hAnsi="David" w:cs="David"/>
          <w:b/>
          <w:bCs/>
          <w:sz w:val="24"/>
          <w:szCs w:val="24"/>
          <w:rtl/>
        </w:rPr>
        <w:t xml:space="preserve">   </w:t>
      </w:r>
    </w:p>
    <w:p w:rsidR="00501CE0" w:rsidRDefault="00501CE0" w:rsidP="00501CE0">
      <w:pPr>
        <w:pStyle w:val="af"/>
        <w:spacing w:line="360" w:lineRule="auto"/>
        <w:ind w:left="567"/>
        <w:rPr>
          <w:rFonts w:ascii="David" w:hAnsi="David" w:cs="David"/>
          <w:b/>
          <w:bCs/>
          <w:sz w:val="24"/>
          <w:szCs w:val="24"/>
          <w:rtl/>
        </w:rPr>
      </w:pPr>
    </w:p>
    <w:p w:rsidR="00501CE0" w:rsidRDefault="00501CE0" w:rsidP="00501CE0">
      <w:pPr>
        <w:pStyle w:val="af"/>
        <w:spacing w:line="360" w:lineRule="auto"/>
        <w:ind w:left="567"/>
        <w:jc w:val="both"/>
        <w:rPr>
          <w:rFonts w:ascii="David" w:hAnsi="David" w:cs="David"/>
          <w:b/>
          <w:bCs/>
          <w:sz w:val="24"/>
          <w:szCs w:val="24"/>
          <w:rtl/>
        </w:rPr>
      </w:pPr>
      <w:r>
        <w:rPr>
          <w:rFonts w:ascii="David" w:hAnsi="David" w:cs="David"/>
          <w:b/>
          <w:bCs/>
          <w:sz w:val="24"/>
          <w:szCs w:val="24"/>
          <w:rtl/>
        </w:rPr>
        <w:t>כפי שציינתי בעמ"ש 33956-02-20 פלוני נ' פלונית [פורסם בנבו] (8.10.20):</w:t>
      </w:r>
    </w:p>
    <w:p w:rsidR="00501CE0" w:rsidRDefault="00501CE0" w:rsidP="00501CE0">
      <w:pPr>
        <w:pStyle w:val="af"/>
        <w:spacing w:line="360" w:lineRule="auto"/>
        <w:ind w:left="567"/>
        <w:jc w:val="both"/>
        <w:rPr>
          <w:rFonts w:ascii="David" w:hAnsi="David" w:cs="David"/>
          <w:b/>
          <w:bCs/>
          <w:sz w:val="24"/>
          <w:szCs w:val="24"/>
          <w:rtl/>
        </w:rPr>
      </w:pPr>
      <w:r>
        <w:rPr>
          <w:rFonts w:ascii="David" w:hAnsi="David" w:cs="David"/>
          <w:b/>
          <w:bCs/>
          <w:sz w:val="24"/>
          <w:szCs w:val="24"/>
          <w:rtl/>
        </w:rPr>
        <w:t>"</w:t>
      </w:r>
      <w:r>
        <w:rPr>
          <w:rFonts w:ascii="David" w:hAnsi="David" w:cs="David"/>
          <w:b/>
          <w:bCs/>
          <w:sz w:val="24"/>
          <w:szCs w:val="24"/>
          <w:u w:val="single"/>
          <w:rtl/>
        </w:rPr>
        <w:t>על מי שמבקש להפחית מזונות, חלה חובה מוגברת לפעול בתום לב ולהציג את מלוא רכושו והכנסותיו</w:t>
      </w:r>
      <w:r>
        <w:rPr>
          <w:rFonts w:ascii="David" w:hAnsi="David" w:cs="David"/>
          <w:b/>
          <w:bCs/>
          <w:sz w:val="24"/>
          <w:szCs w:val="24"/>
          <w:rtl/>
        </w:rPr>
        <w:t>. כפי שנקבע בעמ"ש 53288-03-18 פלוני נ' פלונית  [פורסם בנבו] (13.11.18):</w:t>
      </w:r>
    </w:p>
    <w:p w:rsidR="00501CE0" w:rsidRDefault="00501CE0" w:rsidP="00501CE0">
      <w:pPr>
        <w:pStyle w:val="af"/>
        <w:spacing w:line="360" w:lineRule="auto"/>
        <w:ind w:left="567"/>
        <w:rPr>
          <w:rFonts w:ascii="David" w:hAnsi="David" w:cs="David"/>
          <w:b/>
          <w:bCs/>
          <w:sz w:val="24"/>
          <w:szCs w:val="24"/>
          <w:rtl/>
        </w:rPr>
      </w:pPr>
    </w:p>
    <w:p w:rsidR="00501CE0" w:rsidRDefault="00501CE0" w:rsidP="00501CE0">
      <w:pPr>
        <w:pStyle w:val="af"/>
        <w:spacing w:line="360" w:lineRule="auto"/>
        <w:ind w:left="567"/>
        <w:jc w:val="both"/>
        <w:rPr>
          <w:rFonts w:ascii="David" w:hAnsi="David" w:cs="David"/>
          <w:b/>
          <w:bCs/>
          <w:sz w:val="24"/>
          <w:szCs w:val="24"/>
          <w:rtl/>
        </w:rPr>
      </w:pPr>
      <w:r>
        <w:rPr>
          <w:rFonts w:ascii="David" w:hAnsi="David" w:cs="David"/>
          <w:b/>
          <w:bCs/>
          <w:sz w:val="24"/>
          <w:szCs w:val="24"/>
          <w:rtl/>
        </w:rPr>
        <w:t>"</w:t>
      </w:r>
      <w:r>
        <w:rPr>
          <w:rFonts w:ascii="David" w:hAnsi="David" w:cs="David"/>
          <w:b/>
          <w:bCs/>
          <w:sz w:val="24"/>
          <w:szCs w:val="24"/>
          <w:u w:val="single"/>
          <w:rtl/>
        </w:rPr>
        <w:t>התנאי של שינוי נסיבות מהותי הוא תנאי הכרחי בכדי לקבל תובענה לשינוי סכום מזונות פסוק, אך לא תנאי מספיק. בנוסף יש צורך בבחינת תום לב של מגיש התובענה</w:t>
      </w:r>
      <w:r>
        <w:rPr>
          <w:rFonts w:ascii="David" w:hAnsi="David" w:cs="David"/>
          <w:b/>
          <w:bCs/>
          <w:sz w:val="24"/>
          <w:szCs w:val="24"/>
          <w:rtl/>
        </w:rPr>
        <w:t xml:space="preserve"> (האיש או האישה) בהגשת התובענה. תום הלב, כך לטעמי, ייבחן, בין היתר, בשאלות הבאות: האם מגיש התובענה "משחק בקלפים גלויים" בכל הקשור למצבו הכלכלי בכלל והכנסתו בפרט... </w:t>
      </w:r>
      <w:r>
        <w:rPr>
          <w:rFonts w:ascii="David" w:hAnsi="David" w:cs="David"/>
          <w:b/>
          <w:bCs/>
          <w:sz w:val="24"/>
          <w:szCs w:val="24"/>
          <w:u w:val="single"/>
          <w:rtl/>
        </w:rPr>
        <w:t>במצב דברים זה, נתון לבית המשפט שיקול הדעת שלא להורות על שינוי סכום המזונות הפסוק, אפילו גדל שכרה של המשיבה בשיעור משמעותי</w:t>
      </w:r>
      <w:r>
        <w:rPr>
          <w:rFonts w:ascii="David" w:hAnsi="David" w:cs="David"/>
          <w:b/>
          <w:bCs/>
          <w:sz w:val="24"/>
          <w:szCs w:val="24"/>
          <w:rtl/>
        </w:rPr>
        <w:t xml:space="preserve">. כאמור יש לבחון במצב דברים זה את התנהלות מגיש התובענה לשינוי סכום המזונות הפסוק, ב"משקפי" תום הלב ומכלול יחסי בני הזוג". </w:t>
      </w:r>
      <w:r>
        <w:rPr>
          <w:rFonts w:ascii="David" w:hAnsi="David" w:cs="David"/>
          <w:sz w:val="24"/>
          <w:szCs w:val="24"/>
          <w:rtl/>
        </w:rPr>
        <w:t>(ההדגשות בקו – הוספו) (פסק דינו של כב' השופט שילה).</w:t>
      </w:r>
    </w:p>
    <w:p w:rsidR="00501CE0" w:rsidRDefault="00501CE0" w:rsidP="00501CE0">
      <w:pPr>
        <w:pStyle w:val="af"/>
        <w:spacing w:line="360" w:lineRule="auto"/>
        <w:ind w:left="567"/>
        <w:jc w:val="both"/>
        <w:rPr>
          <w:rFonts w:ascii="David" w:hAnsi="David" w:cs="David"/>
          <w:b/>
          <w:bCs/>
          <w:sz w:val="24"/>
          <w:szCs w:val="24"/>
          <w:rtl/>
        </w:rPr>
      </w:pPr>
      <w:r>
        <w:rPr>
          <w:rFonts w:ascii="David" w:hAnsi="David" w:cs="David"/>
          <w:sz w:val="24"/>
          <w:szCs w:val="24"/>
          <w:rtl/>
        </w:rPr>
        <w:t>ראו:</w:t>
      </w:r>
      <w:r>
        <w:rPr>
          <w:rFonts w:ascii="David" w:hAnsi="David" w:cs="David"/>
          <w:b/>
          <w:bCs/>
          <w:sz w:val="24"/>
          <w:szCs w:val="24"/>
          <w:rtl/>
        </w:rPr>
        <w:t xml:space="preserve"> </w:t>
      </w:r>
      <w:r>
        <w:rPr>
          <w:rFonts w:ascii="David" w:hAnsi="David" w:cs="David"/>
          <w:sz w:val="24"/>
          <w:szCs w:val="24"/>
          <w:rtl/>
        </w:rPr>
        <w:t xml:space="preserve">בעמ"ש (ת"א) 22962-03-20 </w:t>
      </w:r>
      <w:r>
        <w:rPr>
          <w:rFonts w:ascii="Miriam" w:hAnsi="Miriam" w:cs="Miriam"/>
          <w:sz w:val="24"/>
          <w:szCs w:val="24"/>
          <w:rtl/>
        </w:rPr>
        <w:t>פלוני נ' פלונית</w:t>
      </w:r>
      <w:r>
        <w:rPr>
          <w:rFonts w:ascii="David" w:hAnsi="David" w:cs="David"/>
          <w:sz w:val="24"/>
          <w:szCs w:val="24"/>
          <w:rtl/>
        </w:rPr>
        <w:t xml:space="preserve"> (30.3.2021)</w:t>
      </w:r>
      <w:r>
        <w:rPr>
          <w:rFonts w:ascii="David" w:hAnsi="David" w:cs="David"/>
          <w:b/>
          <w:bCs/>
          <w:sz w:val="24"/>
          <w:szCs w:val="24"/>
          <w:rtl/>
        </w:rPr>
        <w:t xml:space="preserve"> </w:t>
      </w:r>
    </w:p>
    <w:p w:rsidR="00501CE0" w:rsidRDefault="00501CE0" w:rsidP="00501CE0">
      <w:pPr>
        <w:pStyle w:val="af"/>
        <w:spacing w:line="360" w:lineRule="auto"/>
        <w:ind w:left="567"/>
        <w:jc w:val="both"/>
        <w:rPr>
          <w:rFonts w:ascii="David" w:hAnsi="David" w:cs="David"/>
          <w:b/>
          <w:bCs/>
          <w:sz w:val="24"/>
          <w:szCs w:val="24"/>
          <w:rtl/>
        </w:rPr>
      </w:pPr>
    </w:p>
    <w:p w:rsidR="00501CE0" w:rsidRDefault="00501CE0" w:rsidP="00501CE0">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בענייננו לא הוכח כי מצבה של האם הוטב ומנגד לא הוכח כי מצבו של האב הורע ואף עלה מראיותיו כי מצבו הוטב.</w:t>
      </w:r>
    </w:p>
    <w:p w:rsidR="00501CE0" w:rsidRDefault="00501CE0" w:rsidP="00501CE0">
      <w:pPr>
        <w:pStyle w:val="af"/>
        <w:spacing w:line="360" w:lineRule="auto"/>
        <w:ind w:left="567"/>
        <w:jc w:val="both"/>
        <w:rPr>
          <w:rFonts w:ascii="David" w:hAnsi="David" w:cs="David"/>
          <w:sz w:val="24"/>
          <w:szCs w:val="24"/>
        </w:rPr>
      </w:pPr>
    </w:p>
    <w:p w:rsidR="00501CE0" w:rsidRDefault="00501CE0" w:rsidP="00501CE0">
      <w:pPr>
        <w:pStyle w:val="af"/>
        <w:numPr>
          <w:ilvl w:val="0"/>
          <w:numId w:val="1"/>
        </w:numPr>
        <w:spacing w:after="0" w:line="360" w:lineRule="auto"/>
        <w:jc w:val="both"/>
        <w:rPr>
          <w:rFonts w:ascii="David" w:hAnsi="David" w:cs="David"/>
          <w:sz w:val="24"/>
          <w:szCs w:val="24"/>
        </w:rPr>
      </w:pPr>
      <w:r>
        <w:rPr>
          <w:rFonts w:ascii="David" w:hAnsi="David" w:cs="David"/>
          <w:sz w:val="24"/>
          <w:szCs w:val="24"/>
          <w:rtl/>
        </w:rPr>
        <w:t>במסגרת ההליכים המשפטיים הוצגו מסמכים רבים מאוד על ידי שני הצדדים וכל אחד מהם טען כי טענותיו הוכחו. בחינה מעמיקה ומדוקדקת של המסמכים שצורפו על ידי האב מעלה כי לא רק שהוא לא הוכיח את טענותיו אלא שטענותיו נסתרו.</w:t>
      </w:r>
    </w:p>
    <w:p w:rsidR="00501CE0" w:rsidRDefault="00501CE0" w:rsidP="00501CE0">
      <w:pPr>
        <w:pStyle w:val="af"/>
        <w:spacing w:line="360" w:lineRule="auto"/>
        <w:ind w:left="567"/>
        <w:jc w:val="both"/>
        <w:rPr>
          <w:rFonts w:ascii="David" w:hAnsi="David" w:cs="David"/>
          <w:sz w:val="24"/>
          <w:szCs w:val="24"/>
        </w:rPr>
      </w:pPr>
    </w:p>
    <w:p w:rsidR="00501CE0" w:rsidRDefault="00501CE0" w:rsidP="00501CE0">
      <w:pPr>
        <w:pStyle w:val="af"/>
        <w:numPr>
          <w:ilvl w:val="0"/>
          <w:numId w:val="1"/>
        </w:numPr>
        <w:spacing w:after="0" w:line="360" w:lineRule="auto"/>
        <w:jc w:val="both"/>
        <w:rPr>
          <w:rFonts w:ascii="David" w:hAnsi="David" w:cs="David"/>
          <w:sz w:val="24"/>
          <w:szCs w:val="24"/>
        </w:rPr>
      </w:pPr>
      <w:r>
        <w:rPr>
          <w:rFonts w:ascii="David" w:hAnsi="David" w:cs="David"/>
          <w:sz w:val="24"/>
          <w:szCs w:val="24"/>
          <w:rtl/>
        </w:rPr>
        <w:t>לכך יש להוסיף כי האב לא נהג בגילוי מלא בתום לב של כל הכנסותיו מכל המקורות ובצורה מסודרת ברורה מקיפה ומהימנה.</w:t>
      </w:r>
    </w:p>
    <w:p w:rsidR="00501CE0" w:rsidRDefault="00501CE0" w:rsidP="00501CE0">
      <w:pPr>
        <w:pStyle w:val="af"/>
        <w:spacing w:line="360" w:lineRule="auto"/>
        <w:ind w:left="567"/>
        <w:jc w:val="both"/>
        <w:rPr>
          <w:rFonts w:ascii="David" w:hAnsi="David" w:cs="David"/>
          <w:sz w:val="24"/>
          <w:szCs w:val="24"/>
        </w:rPr>
      </w:pPr>
    </w:p>
    <w:p w:rsidR="00501CE0" w:rsidRDefault="00501CE0" w:rsidP="00501CE0">
      <w:pPr>
        <w:pStyle w:val="af"/>
        <w:numPr>
          <w:ilvl w:val="0"/>
          <w:numId w:val="1"/>
        </w:numPr>
        <w:spacing w:after="0" w:line="360" w:lineRule="auto"/>
        <w:jc w:val="both"/>
        <w:rPr>
          <w:rFonts w:ascii="David" w:hAnsi="David" w:cs="David"/>
          <w:b/>
          <w:bCs/>
          <w:sz w:val="24"/>
          <w:szCs w:val="24"/>
        </w:rPr>
      </w:pPr>
      <w:r>
        <w:rPr>
          <w:rFonts w:ascii="David" w:hAnsi="David" w:cs="David"/>
          <w:b/>
          <w:bCs/>
          <w:sz w:val="24"/>
          <w:szCs w:val="24"/>
          <w:rtl/>
        </w:rPr>
        <w:t xml:space="preserve">די בהעדר החשיפה המלאה והכוללת של האב של מצבו הכלכלי ושינוי גרסאותיו בעניין זה על מנת לשמוט את הקרקע מתחת לעילת תביעתו. </w:t>
      </w:r>
    </w:p>
    <w:p w:rsidR="00501CE0" w:rsidRDefault="00501CE0" w:rsidP="00501CE0">
      <w:pPr>
        <w:pStyle w:val="af"/>
        <w:rPr>
          <w:rFonts w:ascii="David" w:hAnsi="David" w:cs="David"/>
          <w:b/>
          <w:bCs/>
          <w:sz w:val="24"/>
          <w:szCs w:val="24"/>
        </w:rPr>
      </w:pPr>
    </w:p>
    <w:p w:rsidR="00501CE0" w:rsidRDefault="00501CE0" w:rsidP="00501CE0">
      <w:pPr>
        <w:pStyle w:val="af"/>
        <w:rPr>
          <w:rFonts w:ascii="David" w:hAnsi="David" w:cs="David"/>
          <w:sz w:val="24"/>
          <w:szCs w:val="24"/>
          <w:rtl/>
        </w:rPr>
      </w:pPr>
    </w:p>
    <w:p w:rsidR="00501CE0" w:rsidRDefault="00501CE0" w:rsidP="00501CE0">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lastRenderedPageBreak/>
        <w:t xml:space="preserve">האיש לא הוכיח את הנטל הנדרש להוכחת שינוי נסיבות מהותי הנטען על ידו – שיפור במצבה הכלכלי של האישה. בחינת טענות האיש והעדר ראיות להוכחת מצבו הכלכלי נכון להיום אל מול מצבו במועד אישור הסכם חיונית להוכחת שינוי נסיבות מהותי שיצדיק שינוי הוראות ההסכם. </w:t>
      </w:r>
    </w:p>
    <w:p w:rsidR="00501CE0" w:rsidRDefault="00501CE0" w:rsidP="00501CE0">
      <w:pPr>
        <w:pStyle w:val="af"/>
        <w:spacing w:after="0" w:line="360" w:lineRule="auto"/>
        <w:ind w:left="567"/>
        <w:jc w:val="both"/>
        <w:rPr>
          <w:rFonts w:ascii="David" w:hAnsi="David" w:cs="David"/>
          <w:sz w:val="24"/>
          <w:szCs w:val="24"/>
        </w:rPr>
      </w:pPr>
    </w:p>
    <w:p w:rsidR="00501CE0" w:rsidRDefault="00501CE0" w:rsidP="00501CE0">
      <w:pPr>
        <w:pStyle w:val="af"/>
        <w:numPr>
          <w:ilvl w:val="0"/>
          <w:numId w:val="1"/>
        </w:numPr>
        <w:spacing w:after="0" w:line="360" w:lineRule="auto"/>
        <w:jc w:val="both"/>
        <w:rPr>
          <w:rFonts w:ascii="David" w:hAnsi="David" w:cs="David"/>
          <w:sz w:val="24"/>
          <w:szCs w:val="24"/>
        </w:rPr>
      </w:pPr>
      <w:r>
        <w:rPr>
          <w:rFonts w:ascii="David" w:hAnsi="David" w:cs="David"/>
          <w:b/>
          <w:bCs/>
          <w:sz w:val="24"/>
          <w:szCs w:val="24"/>
          <w:rtl/>
        </w:rPr>
        <w:t>טענת האיש כי חלה עלייה בהכנסות האישה לא הוכחה</w:t>
      </w:r>
      <w:r>
        <w:rPr>
          <w:rFonts w:ascii="David" w:hAnsi="David" w:cs="David"/>
          <w:sz w:val="24"/>
          <w:szCs w:val="24"/>
          <w:rtl/>
        </w:rPr>
        <w:t xml:space="preserve">. על האב היה להוכיח ולהראות כי חל שינוי מהותי לטובתה במצבה יחסית למועד פסק הדין. מלבד טענה כללית, הוא לא הביא ראיות מספיקות ולא נימק טענה זו כדבעי. יתרה מכך לא רק שהאיש לא הוכיח כי מצבה הכלכלי של האם השתפר, מצבה הכלכלי של האם לא השתפר בהסתמך על התשתית הראייתית שסיפקה האם. האם הוצאה לחל"ת בתקופת הקורונה, התקיימה מקצבה בשכר נמוך משהרוויחה במועד ההסכם. וכאמור – אין מקום להסתמך על עזרת הוריה של האישה כנימוק לביטול מזונות האב. </w:t>
      </w:r>
    </w:p>
    <w:p w:rsidR="00501CE0" w:rsidRDefault="00501CE0" w:rsidP="00501CE0">
      <w:pPr>
        <w:pStyle w:val="af"/>
        <w:spacing w:line="360" w:lineRule="auto"/>
        <w:ind w:left="567"/>
        <w:jc w:val="both"/>
        <w:rPr>
          <w:rFonts w:ascii="David" w:hAnsi="David" w:cs="David"/>
          <w:sz w:val="24"/>
          <w:szCs w:val="24"/>
          <w:rtl/>
        </w:rPr>
      </w:pPr>
    </w:p>
    <w:p w:rsidR="00501CE0" w:rsidRDefault="00501CE0" w:rsidP="00501CE0">
      <w:pPr>
        <w:pStyle w:val="af"/>
        <w:numPr>
          <w:ilvl w:val="0"/>
          <w:numId w:val="1"/>
        </w:numPr>
        <w:spacing w:after="0" w:line="360" w:lineRule="auto"/>
        <w:jc w:val="both"/>
        <w:rPr>
          <w:rFonts w:ascii="David" w:hAnsi="David" w:cs="David"/>
          <w:sz w:val="24"/>
          <w:szCs w:val="24"/>
        </w:rPr>
      </w:pPr>
      <w:r>
        <w:rPr>
          <w:rFonts w:ascii="David" w:hAnsi="David" w:cs="David"/>
          <w:b/>
          <w:bCs/>
          <w:sz w:val="24"/>
          <w:szCs w:val="24"/>
          <w:rtl/>
        </w:rPr>
        <w:t xml:space="preserve">האב לא הוכיח את שינוי הנסיבות המהותי שחל במצבו הכלכלי ולא הוכיח את שינוי הנסיבות המהותי שחל במצבה הכלכלי של האישה. רק לאחר הוכחת רכיבים בסיסים אלה ניתן היה לעבור לבחינה מחודשת של המזונות. </w:t>
      </w:r>
      <w:r>
        <w:rPr>
          <w:rFonts w:ascii="David" w:hAnsi="David" w:cs="David"/>
          <w:sz w:val="24"/>
          <w:szCs w:val="24"/>
          <w:rtl/>
        </w:rPr>
        <w:t>על האב היה להוכיח כי חל שינוי נסיבות הנוגע גם למצבה הכלכלי של האם וגם למצבו שלו. שהרי זו הייתה אחת מטענותיו המרכזיות – הפערים שנוצרו בין הצדדים והטבה משמעותית במצבה הכלכלי של האם עד כדי כך שאינה נזקקת כלל לתשלומי המזונות של הקטינה. האב לא הוכיח לגבי האם מה היה מצבה הכלכלי בעת החתימה על ההסכם ומה הוא מצבה הכלכלי בעת שהגיש את התביעה. הוא גם לא ידע להצביע על נתונים מפורשים עם סיום ההליכים מהם ניתן לראות מה הנתונים הנטענים על ידו. חזרה על הטענה כי הוריה של האישה הם אנשים אמידים (עובדה שאין בה כל חדש) אינה מהווה עילה לפתיחת ההסכם וביטול פסק הדין. על כן הטענה כי השתנו הפערים בין הצדדים במצבם הכלכלי לא הוכחה ועל כן היא נדחית.</w:t>
      </w:r>
    </w:p>
    <w:p w:rsidR="00661A3A" w:rsidRDefault="00661A3A" w:rsidP="00501CE0">
      <w:pPr>
        <w:pStyle w:val="af"/>
        <w:rPr>
          <w:rFonts w:ascii="David" w:hAnsi="David" w:cs="David"/>
          <w:sz w:val="24"/>
          <w:szCs w:val="24"/>
        </w:rPr>
      </w:pPr>
    </w:p>
    <w:p w:rsidR="00501CE0" w:rsidRDefault="00501CE0" w:rsidP="00501CE0">
      <w:pPr>
        <w:pStyle w:val="af"/>
        <w:ind w:left="84"/>
        <w:rPr>
          <w:rFonts w:ascii="David" w:hAnsi="David" w:cs="David"/>
          <w:b/>
          <w:bCs/>
          <w:sz w:val="24"/>
          <w:szCs w:val="24"/>
          <w:u w:val="single"/>
          <w:rtl/>
        </w:rPr>
      </w:pPr>
      <w:r>
        <w:rPr>
          <w:rFonts w:ascii="David" w:hAnsi="David" w:cs="David"/>
          <w:b/>
          <w:bCs/>
          <w:sz w:val="24"/>
          <w:szCs w:val="24"/>
          <w:u w:val="single"/>
          <w:rtl/>
        </w:rPr>
        <w:t>טענת האיש באשר לצרכי הקטינה שיש לחלק בין הצדדים בחלקים שווים</w:t>
      </w:r>
    </w:p>
    <w:p w:rsidR="00501CE0" w:rsidRDefault="00501CE0" w:rsidP="00501CE0">
      <w:pPr>
        <w:pStyle w:val="af"/>
        <w:rPr>
          <w:rFonts w:ascii="David" w:hAnsi="David" w:cs="David"/>
          <w:sz w:val="24"/>
          <w:szCs w:val="24"/>
          <w:rtl/>
        </w:rPr>
      </w:pPr>
    </w:p>
    <w:p w:rsidR="00501CE0" w:rsidRDefault="00501CE0" w:rsidP="00501CE0">
      <w:pPr>
        <w:pStyle w:val="af"/>
        <w:numPr>
          <w:ilvl w:val="0"/>
          <w:numId w:val="1"/>
        </w:numPr>
        <w:spacing w:after="0" w:line="360" w:lineRule="auto"/>
        <w:jc w:val="both"/>
        <w:rPr>
          <w:rFonts w:ascii="David" w:hAnsi="David" w:cs="David"/>
          <w:sz w:val="24"/>
          <w:szCs w:val="24"/>
        </w:rPr>
      </w:pPr>
      <w:r>
        <w:rPr>
          <w:rFonts w:ascii="David" w:hAnsi="David" w:cs="David"/>
          <w:b/>
          <w:bCs/>
          <w:sz w:val="24"/>
          <w:szCs w:val="24"/>
          <w:rtl/>
        </w:rPr>
        <w:t>לטענת האיש</w:t>
      </w:r>
      <w:r>
        <w:rPr>
          <w:rFonts w:ascii="David" w:hAnsi="David" w:cs="David"/>
          <w:sz w:val="24"/>
          <w:szCs w:val="24"/>
          <w:rtl/>
        </w:rPr>
        <w:t xml:space="preserve"> צרכי הקטינה שפורטו על ידו בסעיף 42 לכתב התביעה -  הם כדלקמן:</w:t>
      </w:r>
    </w:p>
    <w:p w:rsidR="00661A3A" w:rsidRDefault="00661A3A" w:rsidP="00661A3A">
      <w:pPr>
        <w:pStyle w:val="af"/>
        <w:spacing w:after="0" w:line="360" w:lineRule="auto"/>
        <w:ind w:left="567"/>
        <w:jc w:val="both"/>
        <w:rPr>
          <w:rFonts w:ascii="David" w:hAnsi="David" w:cs="David"/>
          <w:sz w:val="24"/>
          <w:szCs w:val="24"/>
          <w:rtl/>
        </w:rPr>
      </w:pPr>
      <w:r>
        <w:rPr>
          <w:noProof/>
        </w:rPr>
        <w:lastRenderedPageBreak/>
        <w:drawing>
          <wp:inline distT="0" distB="0" distL="0" distR="0" wp14:anchorId="01BE0781" wp14:editId="19794037">
            <wp:extent cx="1981366" cy="1618763"/>
            <wp:effectExtent l="0" t="0" r="0" b="635"/>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986466" cy="1622930"/>
                    </a:xfrm>
                    <a:prstGeom prst="rect">
                      <a:avLst/>
                    </a:prstGeom>
                  </pic:spPr>
                </pic:pic>
              </a:graphicData>
            </a:graphic>
          </wp:inline>
        </w:drawing>
      </w:r>
    </w:p>
    <w:p w:rsidR="00501CE0" w:rsidRDefault="00501CE0" w:rsidP="00501CE0">
      <w:pPr>
        <w:pStyle w:val="af"/>
        <w:spacing w:after="0" w:line="360" w:lineRule="auto"/>
        <w:ind w:left="651"/>
        <w:jc w:val="both"/>
        <w:rPr>
          <w:rFonts w:ascii="David" w:hAnsi="David" w:cs="David"/>
          <w:sz w:val="24"/>
          <w:szCs w:val="24"/>
        </w:rPr>
      </w:pPr>
    </w:p>
    <w:p w:rsidR="00501CE0" w:rsidRDefault="00501CE0" w:rsidP="00501CE0">
      <w:pPr>
        <w:pStyle w:val="af"/>
        <w:rPr>
          <w:rFonts w:ascii="David" w:hAnsi="David" w:cs="David"/>
          <w:sz w:val="24"/>
          <w:szCs w:val="24"/>
        </w:rPr>
      </w:pPr>
    </w:p>
    <w:p w:rsidR="00501CE0" w:rsidRDefault="00501CE0" w:rsidP="00501CE0">
      <w:pPr>
        <w:pStyle w:val="af"/>
        <w:numPr>
          <w:ilvl w:val="0"/>
          <w:numId w:val="1"/>
        </w:numPr>
        <w:spacing w:after="0" w:line="360" w:lineRule="auto"/>
        <w:jc w:val="both"/>
        <w:rPr>
          <w:rFonts w:ascii="David" w:hAnsi="David" w:cs="David"/>
          <w:sz w:val="24"/>
          <w:szCs w:val="24"/>
          <w:rtl/>
        </w:rPr>
      </w:pPr>
      <w:r>
        <w:rPr>
          <w:rFonts w:ascii="David" w:hAnsi="David" w:cs="David"/>
          <w:b/>
          <w:bCs/>
          <w:sz w:val="24"/>
          <w:szCs w:val="24"/>
          <w:rtl/>
        </w:rPr>
        <w:t>לטענתה איש</w:t>
      </w:r>
      <w:r>
        <w:rPr>
          <w:rFonts w:ascii="David" w:hAnsi="David" w:cs="David"/>
          <w:sz w:val="24"/>
          <w:szCs w:val="24"/>
          <w:rtl/>
        </w:rPr>
        <w:t xml:space="preserve">, סך ההוצאות תלויות שהות הינו כ – 1,300 ₪ בחודש (בכל בית) ואילו </w:t>
      </w:r>
      <w:r>
        <w:rPr>
          <w:rFonts w:ascii="David" w:hAnsi="David" w:cs="David"/>
          <w:b/>
          <w:bCs/>
          <w:sz w:val="24"/>
          <w:szCs w:val="24"/>
          <w:rtl/>
        </w:rPr>
        <w:t>הוצאות</w:t>
      </w:r>
      <w:r>
        <w:rPr>
          <w:rFonts w:ascii="David" w:hAnsi="David" w:cs="David"/>
          <w:sz w:val="24"/>
          <w:szCs w:val="24"/>
          <w:rtl/>
        </w:rPr>
        <w:t xml:space="preserve"> שאינן תלויות שהות מגיע ל – 2,800 ₪ לחודש ובנוסף עלות מדורה של הקטינה אצל האב הינו בסך 2,467 ₪ ומכאן שצרכיה הבסיסיים (בשני הבתים) שמוערכים על ידי האב מגיעות לסך של כ – 7,867 ₪ לחודש. </w:t>
      </w:r>
    </w:p>
    <w:p w:rsidR="00501CE0" w:rsidRDefault="00501CE0" w:rsidP="00501CE0">
      <w:pPr>
        <w:pStyle w:val="af"/>
        <w:spacing w:after="0" w:line="360" w:lineRule="auto"/>
        <w:ind w:left="651"/>
        <w:jc w:val="both"/>
        <w:rPr>
          <w:rFonts w:ascii="David" w:hAnsi="David" w:cs="David"/>
          <w:sz w:val="24"/>
          <w:szCs w:val="24"/>
        </w:rPr>
      </w:pPr>
    </w:p>
    <w:p w:rsidR="00501CE0" w:rsidRDefault="00501CE0" w:rsidP="00501CE0">
      <w:pPr>
        <w:pStyle w:val="af"/>
        <w:numPr>
          <w:ilvl w:val="0"/>
          <w:numId w:val="1"/>
        </w:numPr>
        <w:spacing w:after="0" w:line="360" w:lineRule="auto"/>
        <w:jc w:val="both"/>
        <w:rPr>
          <w:rFonts w:ascii="David" w:hAnsi="David" w:cs="David"/>
          <w:sz w:val="24"/>
          <w:szCs w:val="24"/>
        </w:rPr>
      </w:pPr>
      <w:r>
        <w:rPr>
          <w:rFonts w:ascii="David" w:hAnsi="David" w:cs="David"/>
          <w:sz w:val="24"/>
          <w:szCs w:val="24"/>
          <w:rtl/>
        </w:rPr>
        <w:t>בסעיף 49 לכתב התביעה טוען האיש כי נוכח הפער העצום בין הצדדים יש לחייב האישה  ב- בתשלום 2/3 מצרכיה הבסיסיים של הקטינה לידי האיש כדלקמן:</w:t>
      </w:r>
    </w:p>
    <w:p w:rsidR="00501CE0" w:rsidRDefault="00501CE0" w:rsidP="00501CE0">
      <w:pPr>
        <w:pStyle w:val="af"/>
        <w:spacing w:after="0" w:line="360" w:lineRule="auto"/>
        <w:ind w:left="651"/>
        <w:jc w:val="both"/>
        <w:rPr>
          <w:rFonts w:ascii="David" w:hAnsi="David" w:cs="David"/>
          <w:sz w:val="24"/>
          <w:szCs w:val="24"/>
        </w:rPr>
      </w:pPr>
      <w:r>
        <w:rPr>
          <w:noProof/>
        </w:rPr>
        <w:drawing>
          <wp:inline distT="0" distB="0" distL="0" distR="0">
            <wp:extent cx="4484370" cy="1288415"/>
            <wp:effectExtent l="0" t="0" r="0" b="6985"/>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84370" cy="1288415"/>
                    </a:xfrm>
                    <a:prstGeom prst="rect">
                      <a:avLst/>
                    </a:prstGeom>
                    <a:noFill/>
                    <a:ln>
                      <a:noFill/>
                    </a:ln>
                  </pic:spPr>
                </pic:pic>
              </a:graphicData>
            </a:graphic>
          </wp:inline>
        </w:drawing>
      </w:r>
    </w:p>
    <w:p w:rsidR="00501CE0" w:rsidRDefault="00501CE0" w:rsidP="00501CE0">
      <w:pPr>
        <w:pStyle w:val="af"/>
        <w:numPr>
          <w:ilvl w:val="0"/>
          <w:numId w:val="1"/>
        </w:numPr>
        <w:spacing w:after="0" w:line="360" w:lineRule="auto"/>
        <w:jc w:val="both"/>
        <w:rPr>
          <w:rFonts w:ascii="David" w:hAnsi="David" w:cs="David"/>
          <w:sz w:val="24"/>
          <w:szCs w:val="24"/>
        </w:rPr>
      </w:pPr>
      <w:r>
        <w:rPr>
          <w:rFonts w:ascii="David" w:hAnsi="David" w:cs="David"/>
          <w:sz w:val="24"/>
          <w:szCs w:val="24"/>
          <w:rtl/>
        </w:rPr>
        <w:t xml:space="preserve">גם בעניין צרכי הקטינה ניכר כי האיש עבר לשלב השני בתביעה לשינוי המזונות מבלי שעבר את המשוכה של השלב הראשון – האם חל שינוי בצרכיה של הקטינה. האב כלל לא התייחס מה היו צרכיה של הקטינה במועד פסק הדין לעומת צרכיה כעת. </w:t>
      </w:r>
    </w:p>
    <w:p w:rsidR="00501CE0" w:rsidRDefault="00501CE0" w:rsidP="00501CE0">
      <w:pPr>
        <w:pStyle w:val="af"/>
        <w:spacing w:after="0" w:line="360" w:lineRule="auto"/>
        <w:ind w:left="567"/>
        <w:jc w:val="both"/>
        <w:rPr>
          <w:rFonts w:ascii="David" w:hAnsi="David" w:cs="David"/>
          <w:sz w:val="24"/>
          <w:szCs w:val="24"/>
        </w:rPr>
      </w:pPr>
    </w:p>
    <w:p w:rsidR="00501CE0" w:rsidRDefault="00501CE0" w:rsidP="00501CE0">
      <w:pPr>
        <w:pStyle w:val="af"/>
        <w:numPr>
          <w:ilvl w:val="0"/>
          <w:numId w:val="1"/>
        </w:numPr>
        <w:spacing w:after="0" w:line="360" w:lineRule="auto"/>
        <w:jc w:val="both"/>
        <w:rPr>
          <w:rFonts w:ascii="David" w:hAnsi="David" w:cs="David"/>
          <w:sz w:val="24"/>
          <w:szCs w:val="24"/>
        </w:rPr>
      </w:pPr>
      <w:r>
        <w:rPr>
          <w:rFonts w:ascii="David" w:hAnsi="David" w:cs="David"/>
          <w:sz w:val="24"/>
          <w:szCs w:val="24"/>
          <w:rtl/>
        </w:rPr>
        <w:t xml:space="preserve">יתרה מכך, האב לא התייחס כלל לעובדה שבפסק הדין נקבע </w:t>
      </w:r>
      <w:r>
        <w:rPr>
          <w:rFonts w:ascii="David" w:hAnsi="David" w:cs="David"/>
          <w:sz w:val="24"/>
          <w:szCs w:val="24"/>
          <w:u w:val="single"/>
          <w:rtl/>
        </w:rPr>
        <w:t>מדרג</w:t>
      </w:r>
      <w:r>
        <w:rPr>
          <w:rFonts w:ascii="David" w:hAnsi="David" w:cs="David"/>
          <w:sz w:val="24"/>
          <w:szCs w:val="24"/>
          <w:rtl/>
        </w:rPr>
        <w:t xml:space="preserve"> לתשלום המזונות המתחשב כבר בגילה של הקטינה ולקח בחשבון את צרכיה:</w:t>
      </w:r>
    </w:p>
    <w:p w:rsidR="00501CE0" w:rsidRDefault="00501CE0" w:rsidP="007926FD">
      <w:pPr>
        <w:pStyle w:val="af"/>
        <w:spacing w:after="0" w:line="360" w:lineRule="auto"/>
        <w:ind w:left="567"/>
        <w:jc w:val="both"/>
        <w:rPr>
          <w:rFonts w:ascii="David" w:hAnsi="David" w:cs="David"/>
          <w:sz w:val="24"/>
          <w:szCs w:val="24"/>
        </w:rPr>
      </w:pPr>
      <w:r>
        <w:rPr>
          <w:rFonts w:ascii="David" w:eastAsia="David" w:hAnsi="David" w:cs="David"/>
          <w:b/>
          <w:bCs/>
          <w:sz w:val="24"/>
          <w:szCs w:val="24"/>
          <w:u w:val="single"/>
          <w:rtl/>
        </w:rPr>
        <w:t>"האב ישלם למזונות הקטינה ועבור הגן בו שוהה הקטינה סך  כולל של 3,200 ₪ כאשר 2,000 ₪ מתוך סך זה הינו עבור דמי המזונות</w:t>
      </w:r>
      <w:r>
        <w:rPr>
          <w:rFonts w:ascii="David" w:eastAsia="David" w:hAnsi="David" w:cs="David"/>
          <w:b/>
          <w:bCs/>
          <w:sz w:val="24"/>
          <w:szCs w:val="24"/>
          <w:rtl/>
        </w:rPr>
        <w:t xml:space="preserve"> והסך הנוסף  הינו עבור רכיב הגן. כפי שהוסכם היום </w:t>
      </w:r>
      <w:r>
        <w:rPr>
          <w:rFonts w:ascii="David" w:eastAsia="David" w:hAnsi="David" w:cs="David"/>
          <w:b/>
          <w:bCs/>
          <w:sz w:val="24"/>
          <w:szCs w:val="24"/>
          <w:u w:val="single"/>
          <w:rtl/>
        </w:rPr>
        <w:t>אני מורה כי בשנת הלימודים הקרובה תשהה הקטינה ב"</w:t>
      </w:r>
      <w:r w:rsidR="007926FD">
        <w:rPr>
          <w:rFonts w:ascii="David" w:eastAsia="David" w:hAnsi="David" w:cs="David" w:hint="cs"/>
          <w:b/>
          <w:bCs/>
          <w:sz w:val="24"/>
          <w:szCs w:val="24"/>
          <w:u w:val="single"/>
          <w:rtl/>
        </w:rPr>
        <w:t>***</w:t>
      </w:r>
      <w:r>
        <w:rPr>
          <w:rFonts w:ascii="David" w:eastAsia="David" w:hAnsi="David" w:cs="David"/>
          <w:b/>
          <w:bCs/>
          <w:sz w:val="24"/>
          <w:szCs w:val="24"/>
          <w:u w:val="single"/>
          <w:rtl/>
        </w:rPr>
        <w:t>" והחל מגיל 3 תשהה הקטינה בגן עירוני – ממלכתי ואז האב יישא במחצית מעלות גן עירוני בנוסף לדמי המזונות בסך של 2,000 ₪</w:t>
      </w:r>
      <w:r>
        <w:rPr>
          <w:rFonts w:ascii="David" w:hAnsi="David" w:cs="David"/>
          <w:sz w:val="24"/>
          <w:szCs w:val="24"/>
          <w:rtl/>
        </w:rPr>
        <w:t xml:space="preserve">". קרי על פי ההסכם בהתאם לצרכי החינוך חלה הפחתה בתשלומי המזונות – בתחילה </w:t>
      </w:r>
      <w:r>
        <w:rPr>
          <w:rFonts w:ascii="David" w:hAnsi="David" w:cs="David"/>
          <w:sz w:val="24"/>
          <w:szCs w:val="24"/>
          <w:rtl/>
        </w:rPr>
        <w:lastRenderedPageBreak/>
        <w:t xml:space="preserve">3,200 בשל הגן הפרטי ולאחר מכן הפחתה, כאשר אין מחלוקת שהיון הסכום עומד על סך של 2,000 ₪, בהתאם להסכמות הצדדים המשקפים את צרכי הקטינה. </w:t>
      </w:r>
    </w:p>
    <w:p w:rsidR="00501CE0" w:rsidRDefault="00501CE0" w:rsidP="00501CE0">
      <w:pPr>
        <w:pStyle w:val="af"/>
        <w:spacing w:after="0" w:line="360" w:lineRule="auto"/>
        <w:ind w:left="567"/>
        <w:jc w:val="both"/>
        <w:rPr>
          <w:rFonts w:ascii="David" w:hAnsi="David" w:cs="David"/>
          <w:b/>
          <w:bCs/>
          <w:sz w:val="24"/>
          <w:szCs w:val="24"/>
          <w:rtl/>
        </w:rPr>
      </w:pPr>
    </w:p>
    <w:p w:rsidR="00501CE0" w:rsidRDefault="00501CE0" w:rsidP="00501CE0">
      <w:pPr>
        <w:pStyle w:val="af"/>
        <w:numPr>
          <w:ilvl w:val="0"/>
          <w:numId w:val="1"/>
        </w:numPr>
        <w:spacing w:after="0" w:line="360" w:lineRule="auto"/>
        <w:jc w:val="both"/>
        <w:rPr>
          <w:rFonts w:ascii="David" w:hAnsi="David" w:cs="David"/>
          <w:sz w:val="24"/>
          <w:szCs w:val="24"/>
        </w:rPr>
      </w:pPr>
      <w:r>
        <w:rPr>
          <w:rFonts w:ascii="David" w:hAnsi="David" w:cs="David"/>
          <w:sz w:val="24"/>
          <w:szCs w:val="24"/>
          <w:rtl/>
        </w:rPr>
        <w:t xml:space="preserve">בסיכומו של דבר – טענתו המרכזית של האיש הייתה כי יש פערים כלכליים משמעותיים מאוד בין הצדדים. טענה זו לא הוכחה באופן מספק ולא הוכח גם שינוי נסיבות מהותי נפרד לגבי מצבו הכלכלי של כל אחד מהצדדים. יתרה מכך, האיש אישר כי מצבו הכלכלי מאז חתימה על ההסכם דווקא השתפר. בסופו של יום עילה זו לא הוכחה באופן מספק. </w:t>
      </w:r>
    </w:p>
    <w:p w:rsidR="00501CE0" w:rsidRDefault="00501CE0" w:rsidP="00501CE0">
      <w:pPr>
        <w:pStyle w:val="af"/>
        <w:spacing w:after="0" w:line="360" w:lineRule="auto"/>
        <w:ind w:left="651"/>
        <w:jc w:val="both"/>
        <w:rPr>
          <w:rFonts w:ascii="David" w:hAnsi="David" w:cs="David"/>
          <w:sz w:val="24"/>
          <w:szCs w:val="24"/>
        </w:rPr>
      </w:pPr>
    </w:p>
    <w:p w:rsidR="00501CE0" w:rsidRDefault="00501CE0" w:rsidP="00501CE0">
      <w:pPr>
        <w:pStyle w:val="af"/>
        <w:spacing w:after="0" w:line="360" w:lineRule="auto"/>
        <w:ind w:left="-58"/>
        <w:jc w:val="both"/>
        <w:rPr>
          <w:rFonts w:ascii="David" w:hAnsi="David" w:cs="David"/>
          <w:sz w:val="24"/>
          <w:szCs w:val="24"/>
        </w:rPr>
      </w:pPr>
      <w:r>
        <w:rPr>
          <w:rFonts w:ascii="David" w:hAnsi="David" w:cs="David"/>
          <w:b/>
          <w:bCs/>
          <w:sz w:val="24"/>
          <w:szCs w:val="24"/>
          <w:u w:val="single"/>
          <w:rtl/>
        </w:rPr>
        <w:t>טענות האיש באשר לאי עמידת האישה בתנאי ההסכם שאושר כפסק דין</w:t>
      </w:r>
      <w:r>
        <w:rPr>
          <w:rFonts w:ascii="David" w:hAnsi="David" w:cs="David"/>
          <w:sz w:val="24"/>
          <w:szCs w:val="24"/>
          <w:rtl/>
        </w:rPr>
        <w:t xml:space="preserve"> </w:t>
      </w:r>
    </w:p>
    <w:p w:rsidR="00501CE0" w:rsidRDefault="00501CE0" w:rsidP="00501CE0">
      <w:pPr>
        <w:pStyle w:val="af"/>
        <w:spacing w:after="0" w:line="360" w:lineRule="auto"/>
        <w:ind w:left="-58"/>
        <w:jc w:val="both"/>
        <w:rPr>
          <w:rFonts w:ascii="David" w:hAnsi="David" w:cs="David"/>
          <w:sz w:val="24"/>
          <w:szCs w:val="24"/>
          <w:rtl/>
        </w:rPr>
      </w:pPr>
    </w:p>
    <w:p w:rsidR="00501CE0" w:rsidRDefault="00501CE0" w:rsidP="00501CE0">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טענה זו נזנחה למעשה בסיכומי האב, אולם הוקדש לה חלק ניכר מאוד מהטענות במסגרת ההליכים המשפטיים והיא למעשה נבלעה בטענתו כי יש למנותו כהורה מרכז. טענה זו חוזרת כשתי וערב בטענות שני הצדדים לגבי היסטורית הסכסוך ביניהם וטענות כל אחד מהם לגבי התנהלות בפן הרכושי. </w:t>
      </w:r>
    </w:p>
    <w:p w:rsidR="00501CE0" w:rsidRDefault="00501CE0" w:rsidP="00501CE0">
      <w:pPr>
        <w:pStyle w:val="af"/>
        <w:spacing w:after="0" w:line="360" w:lineRule="auto"/>
        <w:ind w:left="567"/>
        <w:jc w:val="both"/>
        <w:rPr>
          <w:rFonts w:ascii="David" w:hAnsi="David" w:cs="David"/>
          <w:sz w:val="24"/>
          <w:szCs w:val="24"/>
        </w:rPr>
      </w:pPr>
    </w:p>
    <w:p w:rsidR="00501CE0" w:rsidRDefault="00501CE0" w:rsidP="00501CE0">
      <w:pPr>
        <w:pStyle w:val="af"/>
        <w:numPr>
          <w:ilvl w:val="0"/>
          <w:numId w:val="1"/>
        </w:numPr>
        <w:spacing w:after="0" w:line="360" w:lineRule="auto"/>
        <w:jc w:val="both"/>
        <w:rPr>
          <w:rFonts w:ascii="David" w:hAnsi="David" w:cs="David"/>
          <w:sz w:val="24"/>
          <w:szCs w:val="24"/>
        </w:rPr>
      </w:pPr>
      <w:r>
        <w:rPr>
          <w:rFonts w:ascii="David" w:hAnsi="David" w:cs="David"/>
          <w:sz w:val="24"/>
          <w:szCs w:val="24"/>
          <w:rtl/>
        </w:rPr>
        <w:t xml:space="preserve">מתוך ראיה כוללת של הסכסוך לא הוכח כי דווקא רכיב זה יש בו לשנות מהתמונה הכוללת ולהוביל לביטול תשלום דמי המזונות. יתרה מכך, אני סבורה כי יש בהתנהלות הכלכלית הקונפליקטואלית העניפה לשים את הקטינה עוד יותר במרכז הסכסוך בין ההורים ולפגוע בטובתה ולכך אין מקום. </w:t>
      </w:r>
    </w:p>
    <w:p w:rsidR="00501CE0" w:rsidRDefault="00501CE0" w:rsidP="00501CE0">
      <w:pPr>
        <w:pStyle w:val="af"/>
        <w:spacing w:after="0" w:line="360" w:lineRule="auto"/>
        <w:ind w:left="651"/>
        <w:jc w:val="both"/>
        <w:rPr>
          <w:rFonts w:ascii="David" w:hAnsi="David" w:cs="David"/>
          <w:sz w:val="24"/>
          <w:szCs w:val="24"/>
        </w:rPr>
      </w:pPr>
    </w:p>
    <w:p w:rsidR="00501CE0" w:rsidRDefault="00501CE0" w:rsidP="00501CE0">
      <w:pPr>
        <w:pStyle w:val="af"/>
        <w:spacing w:after="0" w:line="360" w:lineRule="auto"/>
        <w:ind w:left="-58"/>
        <w:jc w:val="both"/>
        <w:rPr>
          <w:rFonts w:ascii="David" w:hAnsi="David" w:cs="David"/>
          <w:b/>
          <w:bCs/>
          <w:sz w:val="24"/>
          <w:szCs w:val="24"/>
          <w:u w:val="single"/>
          <w:rtl/>
        </w:rPr>
      </w:pPr>
      <w:r>
        <w:rPr>
          <w:rFonts w:ascii="David" w:hAnsi="David" w:cs="David"/>
          <w:b/>
          <w:bCs/>
          <w:sz w:val="24"/>
          <w:szCs w:val="24"/>
          <w:u w:val="single"/>
          <w:rtl/>
        </w:rPr>
        <w:t>טענות האיש כי יש למנותו כהורה מרכז</w:t>
      </w:r>
    </w:p>
    <w:p w:rsidR="00501CE0" w:rsidRDefault="00501CE0" w:rsidP="00501CE0">
      <w:pPr>
        <w:pStyle w:val="af"/>
        <w:spacing w:after="0" w:line="360" w:lineRule="auto"/>
        <w:ind w:left="651"/>
        <w:jc w:val="both"/>
        <w:rPr>
          <w:rFonts w:ascii="David" w:hAnsi="David" w:cs="David"/>
          <w:b/>
          <w:bCs/>
          <w:sz w:val="24"/>
          <w:szCs w:val="24"/>
          <w:u w:val="single"/>
          <w:rtl/>
        </w:rPr>
      </w:pPr>
    </w:p>
    <w:p w:rsidR="00501CE0" w:rsidRDefault="00501CE0" w:rsidP="00501CE0">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במסגרת התביעה, עתר האיש להתמנות להורה מרכז. לטענתו, הוא אב פעיל</w:t>
      </w:r>
      <w:r>
        <w:rPr>
          <w:rFonts w:cs="David"/>
          <w:sz w:val="24"/>
          <w:szCs w:val="24"/>
          <w:rtl/>
        </w:rPr>
        <w:t xml:space="preserve"> בכל הנוגע לענייני החינוך של הקטינה, ומעורב בעניינה של הקטינה יותר מהאישה, כנטען על ידו בסעיף 9 לסיכומים.</w:t>
      </w:r>
    </w:p>
    <w:p w:rsidR="00501CE0" w:rsidRDefault="00501CE0" w:rsidP="00501CE0">
      <w:pPr>
        <w:pStyle w:val="af"/>
        <w:spacing w:after="0" w:line="360" w:lineRule="auto"/>
        <w:ind w:left="567"/>
        <w:jc w:val="both"/>
        <w:rPr>
          <w:rFonts w:ascii="David" w:hAnsi="David" w:cs="David"/>
          <w:sz w:val="24"/>
          <w:szCs w:val="24"/>
        </w:rPr>
      </w:pPr>
      <w:r>
        <w:rPr>
          <w:rFonts w:cs="David"/>
          <w:sz w:val="24"/>
          <w:szCs w:val="24"/>
          <w:rtl/>
        </w:rPr>
        <w:t>לטענת</w:t>
      </w:r>
      <w:r>
        <w:rPr>
          <w:rFonts w:ascii="David" w:hAnsi="David" w:cs="David"/>
          <w:sz w:val="24"/>
          <w:szCs w:val="24"/>
          <w:rtl/>
        </w:rPr>
        <w:t xml:space="preserve"> האישה היא ההורה הדומיננטי בכל עניין הקשור לקטינה והיא זו שממלאת אחר צרכיה של הקטינה, לרבות ביגוד, חוגים. </w:t>
      </w:r>
    </w:p>
    <w:p w:rsidR="00501CE0" w:rsidRDefault="00501CE0" w:rsidP="00501CE0">
      <w:pPr>
        <w:pStyle w:val="af"/>
        <w:rPr>
          <w:rFonts w:ascii="David" w:hAnsi="David" w:cs="David"/>
          <w:sz w:val="24"/>
          <w:szCs w:val="24"/>
        </w:rPr>
      </w:pPr>
    </w:p>
    <w:p w:rsidR="00501CE0" w:rsidRDefault="00501CE0" w:rsidP="00501CE0">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יש להבהיר כי עתירה למינוי של הורה מרכז על פי בע"מ 919/15 שהינה </w:t>
      </w:r>
      <w:r>
        <w:rPr>
          <w:rFonts w:ascii="Miriam" w:hAnsi="Miriam" w:cs="Miriam"/>
          <w:sz w:val="24"/>
          <w:szCs w:val="24"/>
          <w:rtl/>
        </w:rPr>
        <w:t>בניגוד</w:t>
      </w:r>
      <w:r>
        <w:rPr>
          <w:rFonts w:ascii="David" w:hAnsi="David" w:cs="David"/>
          <w:sz w:val="24"/>
          <w:szCs w:val="24"/>
          <w:rtl/>
        </w:rPr>
        <w:t xml:space="preserve"> להסדר </w:t>
      </w:r>
      <w:r>
        <w:rPr>
          <w:rFonts w:cs="David"/>
          <w:sz w:val="24"/>
          <w:szCs w:val="24"/>
          <w:rtl/>
        </w:rPr>
        <w:t>שקבעו</w:t>
      </w:r>
      <w:r>
        <w:rPr>
          <w:rFonts w:ascii="David" w:hAnsi="David" w:cs="David"/>
          <w:sz w:val="24"/>
          <w:szCs w:val="24"/>
          <w:rtl/>
        </w:rPr>
        <w:t xml:space="preserve"> הצדדים בהסכם שאושר כפסק דין, יכולה לידון אך ורק לאחר שהצד שטוען לשינוי נסיבות אכן הוכיח כי חל שינוי נסיבות. או אז ניתן לעבור לשלב השני והוא של בחינת תשלומי המזונות ואופן ביצועם. מאחר והאב לא הוכיח כי חל שינוי נסיבות מהותי, אין מקום להתערב באופן התשלום שהצדדים קבעו בהסכם ועל כן גם דין טענה זו להידחות. </w:t>
      </w:r>
    </w:p>
    <w:p w:rsidR="00501CE0" w:rsidRDefault="00501CE0" w:rsidP="00501CE0">
      <w:pPr>
        <w:pStyle w:val="af"/>
        <w:rPr>
          <w:rFonts w:ascii="David" w:hAnsi="David" w:cs="David"/>
          <w:sz w:val="24"/>
          <w:szCs w:val="24"/>
          <w:rtl/>
        </w:rPr>
      </w:pPr>
    </w:p>
    <w:p w:rsidR="00661A3A" w:rsidRDefault="00661A3A" w:rsidP="00501CE0">
      <w:pPr>
        <w:pStyle w:val="af"/>
        <w:rPr>
          <w:rFonts w:ascii="David" w:hAnsi="David" w:cs="David"/>
          <w:sz w:val="24"/>
          <w:szCs w:val="24"/>
        </w:rPr>
      </w:pPr>
    </w:p>
    <w:p w:rsidR="00501CE0" w:rsidRDefault="00501CE0" w:rsidP="00501CE0">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lastRenderedPageBreak/>
        <w:t>יתרה מכך, במסגרת ההסכם קבעו הצדדים תשלומים שישאו בהם בחלקים שווים:</w:t>
      </w:r>
    </w:p>
    <w:p w:rsidR="00501CE0" w:rsidRDefault="00501CE0" w:rsidP="00501CE0">
      <w:pPr>
        <w:spacing w:line="360" w:lineRule="auto"/>
        <w:ind w:left="567"/>
        <w:jc w:val="both"/>
        <w:rPr>
          <w:rFonts w:ascii="David" w:eastAsia="David" w:hAnsi="David"/>
        </w:rPr>
      </w:pPr>
      <w:r>
        <w:rPr>
          <w:rFonts w:ascii="David" w:eastAsia="David" w:hAnsi="David"/>
          <w:b/>
          <w:bCs/>
          <w:rtl/>
        </w:rPr>
        <w:t>"בנוסף לדמי המזונות וכחלק מהם יישא המשיב במחצית הוצאות חינוך לרבות חוג אחד לקטינה, קייטנה, צהרון וזאת בעלות עירונית ציבורית, שכר לימוד, תגבור בלימודים במידת הצורך, ספרי לימוד וציוד לימודי, בניכוי הוצאות חינוך שמשתלמות על ידי המוסד לביטוח לאומי עבור חינוך, וכן במחצית ההוצאות הרפואיות החריגות שאינן מכוסות על ידי הביטוחים הרפואיים, המשלימים והפרטיים הממומנים על ידי הצדדים כיום עבור הקטינה.  באמירה הוצאות רפואיות חריגות נכללות גם הוצאות לטיפול אורתודנטי ו/או טיפול שיניים."</w:t>
      </w:r>
      <w:r>
        <w:rPr>
          <w:rFonts w:ascii="David" w:eastAsia="David" w:hAnsi="David"/>
          <w:rtl/>
        </w:rPr>
        <w:t xml:space="preserve"> </w:t>
      </w:r>
    </w:p>
    <w:p w:rsidR="00501CE0" w:rsidRDefault="00501CE0" w:rsidP="00501CE0">
      <w:pPr>
        <w:spacing w:line="360" w:lineRule="auto"/>
        <w:ind w:left="567"/>
        <w:jc w:val="both"/>
        <w:rPr>
          <w:rFonts w:ascii="David" w:eastAsia="David" w:hAnsi="David"/>
          <w:rtl/>
        </w:rPr>
      </w:pPr>
    </w:p>
    <w:p w:rsidR="00501CE0" w:rsidRDefault="00501CE0" w:rsidP="00501CE0">
      <w:pPr>
        <w:pStyle w:val="af"/>
        <w:numPr>
          <w:ilvl w:val="0"/>
          <w:numId w:val="1"/>
        </w:numPr>
        <w:spacing w:after="0" w:line="360" w:lineRule="auto"/>
        <w:jc w:val="both"/>
        <w:rPr>
          <w:rFonts w:ascii="David" w:hAnsi="David" w:cs="David"/>
          <w:sz w:val="24"/>
          <w:szCs w:val="24"/>
        </w:rPr>
      </w:pPr>
      <w:r>
        <w:rPr>
          <w:rFonts w:ascii="David" w:hAnsi="David" w:cs="David"/>
          <w:sz w:val="24"/>
          <w:szCs w:val="24"/>
          <w:rtl/>
        </w:rPr>
        <w:t>טענותיו של האב כעת מתייחסות בעיקר לתשלומים שהוא משלם עבור ההוצאות החריגות. לכך יש מענה במסגרת ההסכם – החובה היא על שני ההורים וככל שהאב משלם עבור כלל התשלום על האם להשיב לו את מחציתו. לא לכך הכוונה במינוי הורה מרכז.</w:t>
      </w:r>
    </w:p>
    <w:p w:rsidR="00501CE0" w:rsidRDefault="00501CE0" w:rsidP="00501CE0">
      <w:pPr>
        <w:pStyle w:val="af"/>
        <w:spacing w:after="0" w:line="360" w:lineRule="auto"/>
        <w:ind w:left="567"/>
        <w:jc w:val="both"/>
        <w:rPr>
          <w:rFonts w:ascii="David" w:hAnsi="David" w:cs="David"/>
          <w:sz w:val="24"/>
          <w:szCs w:val="24"/>
        </w:rPr>
      </w:pPr>
    </w:p>
    <w:p w:rsidR="00501CE0" w:rsidRDefault="00501CE0" w:rsidP="00501CE0">
      <w:pPr>
        <w:pStyle w:val="af"/>
        <w:numPr>
          <w:ilvl w:val="0"/>
          <w:numId w:val="1"/>
        </w:numPr>
        <w:spacing w:after="0" w:line="360" w:lineRule="auto"/>
        <w:jc w:val="both"/>
        <w:rPr>
          <w:rFonts w:ascii="David" w:hAnsi="David" w:cs="David"/>
          <w:sz w:val="24"/>
          <w:szCs w:val="24"/>
        </w:rPr>
      </w:pPr>
      <w:r>
        <w:rPr>
          <w:rFonts w:ascii="David" w:hAnsi="David" w:cs="David"/>
          <w:sz w:val="24"/>
          <w:szCs w:val="24"/>
          <w:rtl/>
        </w:rPr>
        <w:t xml:space="preserve">כמו כן יש לבחון האם יש במינוי הורה מרכז על מנת לסייע לפשט ובסופו של יום להיטיב עם הקטין שמשולמים עבורו המזונות. בעניינו ברמת הקונפליקט בין הצדדים ולאור ההסכמות אליהן הגיעו אני סבורה כי קביעה של הורה מרכז מעבר להיותה מנוגדת להסכם תוביל לשורה נוספת של חיכוכים בין הצדדים ולהעמיד את הקטינה עוד יותר במרכזו של הסכסוך. </w:t>
      </w:r>
    </w:p>
    <w:p w:rsidR="00501CE0" w:rsidRDefault="00501CE0" w:rsidP="00501CE0">
      <w:pPr>
        <w:pStyle w:val="af"/>
        <w:spacing w:after="0" w:line="360" w:lineRule="auto"/>
        <w:ind w:left="-58"/>
        <w:jc w:val="both"/>
        <w:rPr>
          <w:rFonts w:ascii="David" w:hAnsi="David" w:cs="David"/>
          <w:b/>
          <w:bCs/>
          <w:sz w:val="24"/>
          <w:szCs w:val="24"/>
          <w:u w:val="single"/>
          <w:rtl/>
        </w:rPr>
      </w:pPr>
    </w:p>
    <w:p w:rsidR="00501CE0" w:rsidRDefault="00501CE0" w:rsidP="00501CE0">
      <w:pPr>
        <w:pStyle w:val="af"/>
        <w:spacing w:line="360" w:lineRule="auto"/>
        <w:ind w:left="84"/>
        <w:jc w:val="both"/>
        <w:rPr>
          <w:rFonts w:ascii="David" w:hAnsi="David" w:cs="David"/>
          <w:b/>
          <w:bCs/>
          <w:sz w:val="28"/>
          <w:szCs w:val="28"/>
          <w:u w:val="single"/>
          <w:rtl/>
        </w:rPr>
      </w:pPr>
      <w:r>
        <w:rPr>
          <w:rFonts w:ascii="David" w:hAnsi="David" w:cs="David"/>
          <w:b/>
          <w:bCs/>
          <w:sz w:val="28"/>
          <w:szCs w:val="28"/>
          <w:u w:val="single"/>
          <w:rtl/>
        </w:rPr>
        <w:t>סיכום</w:t>
      </w:r>
    </w:p>
    <w:p w:rsidR="00501CE0" w:rsidRDefault="00501CE0" w:rsidP="00501CE0">
      <w:pPr>
        <w:pStyle w:val="af"/>
        <w:spacing w:line="360" w:lineRule="auto"/>
        <w:ind w:left="567"/>
        <w:jc w:val="both"/>
        <w:rPr>
          <w:rFonts w:ascii="David" w:hAnsi="David" w:cs="David"/>
          <w:b/>
          <w:bCs/>
          <w:sz w:val="28"/>
          <w:szCs w:val="28"/>
          <w:u w:val="single"/>
        </w:rPr>
      </w:pPr>
    </w:p>
    <w:p w:rsidR="00501CE0" w:rsidRDefault="00501CE0" w:rsidP="00501CE0">
      <w:pPr>
        <w:pStyle w:val="af"/>
        <w:numPr>
          <w:ilvl w:val="0"/>
          <w:numId w:val="1"/>
        </w:numPr>
        <w:spacing w:after="0" w:line="360" w:lineRule="auto"/>
        <w:jc w:val="both"/>
        <w:rPr>
          <w:rFonts w:ascii="Arial" w:eastAsia="Times New Roman" w:hAnsi="Arial" w:cs="David"/>
          <w:sz w:val="24"/>
          <w:szCs w:val="24"/>
        </w:rPr>
      </w:pPr>
      <w:r>
        <w:rPr>
          <w:rFonts w:cs="David"/>
          <w:b/>
          <w:bCs/>
          <w:sz w:val="24"/>
          <w:szCs w:val="24"/>
          <w:rtl/>
        </w:rPr>
        <w:t>אשר על כן ולאור כל המפורט לעיל אני מורה על דחיית התביעה</w:t>
      </w:r>
      <w:r>
        <w:rPr>
          <w:rFonts w:cs="David"/>
          <w:sz w:val="24"/>
          <w:szCs w:val="24"/>
          <w:rtl/>
        </w:rPr>
        <w:t xml:space="preserve">. האיש לא הוכיח את טענותיו לשינוי נסיבות מהותי באף אחד מהרכיבים שטען להם. יתרה מכך, הוא נמנע מלגלות לבית המשפט באופן מלא, בהיר ונהיר את מצבו הכלכלי </w:t>
      </w:r>
      <w:r>
        <w:rPr>
          <w:rFonts w:cs="David"/>
          <w:sz w:val="24"/>
          <w:szCs w:val="24"/>
          <w:u w:val="single"/>
          <w:rtl/>
        </w:rPr>
        <w:t>מכל המקורות</w:t>
      </w:r>
      <w:r>
        <w:rPr>
          <w:rFonts w:cs="David"/>
          <w:sz w:val="24"/>
          <w:szCs w:val="24"/>
          <w:rtl/>
        </w:rPr>
        <w:t xml:space="preserve"> ולהוכיח את טענותיו לשינוי נסיבות ממועד אישור ההסכם ומתן פסק הדין. </w:t>
      </w:r>
    </w:p>
    <w:p w:rsidR="00501CE0" w:rsidRDefault="00501CE0" w:rsidP="00501CE0">
      <w:pPr>
        <w:pStyle w:val="af"/>
        <w:rPr>
          <w:rFonts w:ascii="Arial" w:eastAsia="Times New Roman" w:hAnsi="Arial" w:cs="David"/>
          <w:sz w:val="24"/>
          <w:szCs w:val="24"/>
          <w:rtl/>
        </w:rPr>
      </w:pPr>
    </w:p>
    <w:p w:rsidR="00501CE0" w:rsidRDefault="00501CE0" w:rsidP="00501CE0">
      <w:pPr>
        <w:pStyle w:val="af"/>
        <w:numPr>
          <w:ilvl w:val="0"/>
          <w:numId w:val="1"/>
        </w:numPr>
        <w:spacing w:after="0" w:line="360" w:lineRule="auto"/>
        <w:jc w:val="both"/>
        <w:rPr>
          <w:rFonts w:ascii="Arial" w:eastAsia="Times New Roman" w:hAnsi="Arial" w:cs="David"/>
          <w:sz w:val="24"/>
          <w:szCs w:val="24"/>
          <w:rtl/>
        </w:rPr>
      </w:pPr>
      <w:r>
        <w:rPr>
          <w:rFonts w:cs="David"/>
          <w:b/>
          <w:bCs/>
          <w:sz w:val="24"/>
          <w:szCs w:val="24"/>
          <w:u w:val="single"/>
          <w:rtl/>
        </w:rPr>
        <w:t xml:space="preserve">הוצאות ההליך – </w:t>
      </w:r>
      <w:r>
        <w:rPr>
          <w:rFonts w:ascii="Arial" w:eastAsia="Times New Roman" w:hAnsi="Arial" w:cs="David"/>
          <w:sz w:val="24"/>
          <w:szCs w:val="24"/>
          <w:rtl/>
        </w:rPr>
        <w:t>בראיה הכוללת ולאור ההכרעה גם בתביעת האם – סברתי כי טובת הקטינה וטובת ההורים כי לא יהיה חיוב בהוצאות, וכל צד יישא בהוצאותיו.</w:t>
      </w:r>
    </w:p>
    <w:p w:rsidR="00501CE0" w:rsidRDefault="00501CE0" w:rsidP="00501CE0">
      <w:pPr>
        <w:pStyle w:val="af"/>
        <w:spacing w:after="0" w:line="240" w:lineRule="auto"/>
        <w:ind w:left="567"/>
        <w:jc w:val="both"/>
        <w:rPr>
          <w:rFonts w:cs="David"/>
          <w:sz w:val="24"/>
          <w:szCs w:val="24"/>
          <w:rtl/>
        </w:rPr>
      </w:pPr>
    </w:p>
    <w:p w:rsidR="00501CE0" w:rsidRDefault="00501CE0" w:rsidP="00501CE0">
      <w:pPr>
        <w:pStyle w:val="af"/>
        <w:numPr>
          <w:ilvl w:val="0"/>
          <w:numId w:val="1"/>
        </w:numPr>
        <w:spacing w:after="0" w:line="360" w:lineRule="auto"/>
        <w:jc w:val="both"/>
      </w:pPr>
      <w:r>
        <w:rPr>
          <w:rFonts w:cs="David"/>
          <w:b/>
          <w:bCs/>
          <w:sz w:val="24"/>
          <w:szCs w:val="24"/>
          <w:u w:val="single"/>
          <w:rtl/>
        </w:rPr>
        <w:t>המזכירות</w:t>
      </w:r>
      <w:r>
        <w:rPr>
          <w:rFonts w:cs="David"/>
          <w:b/>
          <w:bCs/>
          <w:sz w:val="24"/>
          <w:szCs w:val="24"/>
          <w:rtl/>
        </w:rPr>
        <w:t xml:space="preserve"> </w:t>
      </w:r>
      <w:r>
        <w:rPr>
          <w:rFonts w:cs="David"/>
          <w:sz w:val="24"/>
          <w:szCs w:val="24"/>
          <w:rtl/>
        </w:rPr>
        <w:t>תסגור את  תלה"מ 12412-03-20.</w:t>
      </w:r>
    </w:p>
    <w:p w:rsidR="00501CE0" w:rsidRDefault="00501CE0" w:rsidP="00501CE0">
      <w:pPr>
        <w:pStyle w:val="af"/>
        <w:spacing w:after="0" w:line="360" w:lineRule="auto"/>
        <w:ind w:left="651"/>
        <w:jc w:val="both"/>
        <w:rPr>
          <w:rtl/>
        </w:rPr>
      </w:pPr>
    </w:p>
    <w:p w:rsidR="00661A3A" w:rsidRDefault="00661A3A" w:rsidP="00501CE0">
      <w:pPr>
        <w:pStyle w:val="af"/>
        <w:spacing w:after="0" w:line="360" w:lineRule="auto"/>
        <w:ind w:left="651"/>
        <w:jc w:val="both"/>
        <w:rPr>
          <w:rtl/>
        </w:rPr>
      </w:pPr>
    </w:p>
    <w:p w:rsidR="00661A3A" w:rsidRDefault="00661A3A" w:rsidP="00501CE0">
      <w:pPr>
        <w:pStyle w:val="af"/>
        <w:spacing w:after="0" w:line="360" w:lineRule="auto"/>
        <w:ind w:left="651"/>
        <w:jc w:val="both"/>
        <w:rPr>
          <w:rtl/>
        </w:rPr>
      </w:pPr>
    </w:p>
    <w:p w:rsidR="00A554A5" w:rsidRDefault="00A554A5" w:rsidP="00501CE0">
      <w:pPr>
        <w:pStyle w:val="af"/>
        <w:spacing w:after="0" w:line="360" w:lineRule="auto"/>
        <w:ind w:left="651"/>
        <w:jc w:val="both"/>
        <w:rPr>
          <w:rtl/>
        </w:rPr>
      </w:pPr>
    </w:p>
    <w:p w:rsidR="00A554A5" w:rsidRDefault="00A554A5" w:rsidP="00501CE0">
      <w:pPr>
        <w:pStyle w:val="af"/>
        <w:spacing w:after="0" w:line="360" w:lineRule="auto"/>
        <w:ind w:left="651"/>
        <w:jc w:val="both"/>
        <w:rPr>
          <w:rtl/>
        </w:rPr>
      </w:pPr>
    </w:p>
    <w:p w:rsidR="00A554A5" w:rsidRDefault="00A554A5" w:rsidP="00501CE0">
      <w:pPr>
        <w:pStyle w:val="af"/>
        <w:spacing w:after="0" w:line="360" w:lineRule="auto"/>
        <w:ind w:left="651"/>
        <w:jc w:val="both"/>
      </w:pPr>
    </w:p>
    <w:p w:rsidR="00501CE0" w:rsidRDefault="00501CE0" w:rsidP="00501CE0">
      <w:pPr>
        <w:pStyle w:val="af"/>
        <w:spacing w:line="360" w:lineRule="auto"/>
        <w:ind w:left="1076" w:hanging="708"/>
        <w:jc w:val="center"/>
        <w:rPr>
          <w:rFonts w:ascii="David" w:hAnsi="David" w:cs="David"/>
          <w:b/>
          <w:bCs/>
          <w:sz w:val="28"/>
          <w:szCs w:val="28"/>
          <w:u w:val="single"/>
          <w:rtl/>
        </w:rPr>
      </w:pPr>
      <w:r>
        <w:rPr>
          <w:rFonts w:ascii="David" w:hAnsi="David" w:cs="David"/>
          <w:b/>
          <w:bCs/>
          <w:sz w:val="28"/>
          <w:szCs w:val="28"/>
          <w:u w:val="single"/>
          <w:rtl/>
        </w:rPr>
        <w:lastRenderedPageBreak/>
        <w:t>פסק הדין בתלה"מ 37653-04-20– תביעת האם</w:t>
      </w:r>
    </w:p>
    <w:p w:rsidR="00501CE0" w:rsidRDefault="00501CE0" w:rsidP="00501CE0">
      <w:pPr>
        <w:pStyle w:val="af"/>
        <w:spacing w:line="360" w:lineRule="auto"/>
        <w:ind w:left="1076" w:hanging="708"/>
        <w:jc w:val="center"/>
        <w:rPr>
          <w:rFonts w:ascii="David" w:hAnsi="David" w:cs="David"/>
          <w:b/>
          <w:bCs/>
          <w:sz w:val="28"/>
          <w:szCs w:val="28"/>
          <w:u w:val="single"/>
          <w:rtl/>
        </w:rPr>
      </w:pPr>
    </w:p>
    <w:p w:rsidR="00501CE0" w:rsidRDefault="00501CE0" w:rsidP="00501CE0">
      <w:pPr>
        <w:pStyle w:val="af"/>
        <w:numPr>
          <w:ilvl w:val="0"/>
          <w:numId w:val="1"/>
        </w:numPr>
        <w:spacing w:after="0" w:line="360" w:lineRule="auto"/>
        <w:jc w:val="both"/>
        <w:rPr>
          <w:rFonts w:ascii="David" w:hAnsi="David" w:cs="David"/>
          <w:b/>
          <w:bCs/>
          <w:sz w:val="24"/>
          <w:szCs w:val="24"/>
          <w:rtl/>
        </w:rPr>
      </w:pPr>
      <w:r>
        <w:rPr>
          <w:rFonts w:ascii="David" w:hAnsi="David" w:cs="David"/>
          <w:b/>
          <w:bCs/>
          <w:sz w:val="24"/>
          <w:szCs w:val="24"/>
          <w:rtl/>
        </w:rPr>
        <w:t>במסגרת תביעה זו עתרה האישה  לסעדים הבאים:</w:t>
      </w:r>
    </w:p>
    <w:p w:rsidR="00501CE0" w:rsidRDefault="00501CE0" w:rsidP="00501CE0">
      <w:pPr>
        <w:spacing w:line="360" w:lineRule="auto"/>
        <w:ind w:firstLine="567"/>
        <w:jc w:val="both"/>
        <w:rPr>
          <w:rFonts w:ascii="David" w:hAnsi="David"/>
        </w:rPr>
      </w:pPr>
      <w:r>
        <w:rPr>
          <w:rFonts w:ascii="David" w:hAnsi="David"/>
          <w:rtl/>
        </w:rPr>
        <w:t>חיוב האיש בסך של 3,200 ₪ בגין מזונותיה של הקטינה.</w:t>
      </w:r>
    </w:p>
    <w:p w:rsidR="00501CE0" w:rsidRDefault="00501CE0" w:rsidP="00501CE0">
      <w:pPr>
        <w:spacing w:line="360" w:lineRule="auto"/>
        <w:ind w:left="567"/>
        <w:jc w:val="both"/>
        <w:rPr>
          <w:rFonts w:ascii="David" w:hAnsi="David"/>
        </w:rPr>
      </w:pPr>
      <w:r>
        <w:rPr>
          <w:rFonts w:ascii="David" w:hAnsi="David"/>
          <w:rtl/>
        </w:rPr>
        <w:t>בנוסף, חיוב האיש בסך של 2,500 ₪ בגין מדורה של הקטינה לאור העדר שיתוף האישה בדמי שכירות דירת הצדדים.</w:t>
      </w:r>
    </w:p>
    <w:p w:rsidR="00501CE0" w:rsidRDefault="00501CE0" w:rsidP="00501CE0">
      <w:pPr>
        <w:spacing w:line="360" w:lineRule="auto"/>
        <w:ind w:left="567"/>
        <w:jc w:val="both"/>
        <w:rPr>
          <w:rFonts w:ascii="David" w:hAnsi="David"/>
        </w:rPr>
      </w:pPr>
      <w:r>
        <w:rPr>
          <w:rFonts w:ascii="David" w:hAnsi="David"/>
          <w:rtl/>
        </w:rPr>
        <w:t xml:space="preserve">לאחר העברת תמורת חלקה של האישה בדירת הצדדים יש להעמיד את חלקו של האיש במדור הקטינה ע"ב 1,000 ₪. </w:t>
      </w:r>
    </w:p>
    <w:p w:rsidR="00501CE0" w:rsidRDefault="00501CE0" w:rsidP="00501CE0">
      <w:pPr>
        <w:pStyle w:val="af"/>
        <w:spacing w:line="360" w:lineRule="auto"/>
        <w:ind w:left="84"/>
        <w:jc w:val="both"/>
        <w:rPr>
          <w:rFonts w:ascii="David" w:hAnsi="David" w:cs="David"/>
          <w:b/>
          <w:bCs/>
          <w:sz w:val="28"/>
          <w:szCs w:val="28"/>
          <w:u w:val="single"/>
        </w:rPr>
      </w:pPr>
    </w:p>
    <w:p w:rsidR="00501CE0" w:rsidRDefault="00501CE0" w:rsidP="00501CE0">
      <w:pPr>
        <w:pStyle w:val="af"/>
        <w:spacing w:line="360" w:lineRule="auto"/>
        <w:ind w:left="84"/>
        <w:jc w:val="both"/>
        <w:rPr>
          <w:rFonts w:ascii="David" w:hAnsi="David" w:cs="David"/>
          <w:b/>
          <w:bCs/>
          <w:sz w:val="28"/>
          <w:szCs w:val="28"/>
          <w:u w:val="single"/>
          <w:rtl/>
        </w:rPr>
      </w:pPr>
      <w:r>
        <w:rPr>
          <w:rFonts w:ascii="David" w:hAnsi="David" w:cs="David"/>
          <w:b/>
          <w:bCs/>
          <w:sz w:val="28"/>
          <w:szCs w:val="28"/>
          <w:u w:val="single"/>
          <w:rtl/>
        </w:rPr>
        <w:t>טענות הצדדים</w:t>
      </w:r>
    </w:p>
    <w:p w:rsidR="00501CE0" w:rsidRDefault="00501CE0" w:rsidP="00501CE0">
      <w:pPr>
        <w:pStyle w:val="af"/>
        <w:spacing w:line="360" w:lineRule="auto"/>
        <w:ind w:left="84"/>
        <w:jc w:val="both"/>
        <w:rPr>
          <w:rFonts w:ascii="David" w:hAnsi="David" w:cs="David"/>
          <w:b/>
          <w:bCs/>
          <w:sz w:val="28"/>
          <w:szCs w:val="28"/>
          <w:u w:val="single"/>
          <w:rtl/>
        </w:rPr>
      </w:pPr>
    </w:p>
    <w:p w:rsidR="00501CE0" w:rsidRDefault="00501CE0" w:rsidP="00501CE0">
      <w:pPr>
        <w:pStyle w:val="af"/>
        <w:numPr>
          <w:ilvl w:val="0"/>
          <w:numId w:val="1"/>
        </w:numPr>
        <w:spacing w:after="0" w:line="360" w:lineRule="auto"/>
        <w:jc w:val="both"/>
        <w:rPr>
          <w:rFonts w:ascii="David" w:hAnsi="David" w:cs="David"/>
          <w:sz w:val="24"/>
          <w:szCs w:val="24"/>
        </w:rPr>
      </w:pPr>
      <w:r>
        <w:rPr>
          <w:rFonts w:ascii="David" w:hAnsi="David" w:cs="David"/>
          <w:b/>
          <w:bCs/>
          <w:sz w:val="24"/>
          <w:szCs w:val="24"/>
          <w:rtl/>
        </w:rPr>
        <w:t xml:space="preserve">האישה עותרת בתביעה עצמאית חדשה של מזונות הקטינה </w:t>
      </w:r>
      <w:r>
        <w:rPr>
          <w:rFonts w:ascii="David" w:hAnsi="David" w:cs="David"/>
          <w:sz w:val="24"/>
          <w:szCs w:val="24"/>
          <w:rtl/>
        </w:rPr>
        <w:t>(ללא קשר למה שנקבע בהסכם). היא טוענת כי לאור שינוי נסיבות מהותי – שיפור במצבו הכלכלי של האיש לעומת הרעה במצבה הכלכלי יש לבחון מחדש את מזונות הקטינה. האישה מציינת כי נולד לה ילד נוסף אותו מגדלת בגפה דבר המשליך על הוצאותיה לעומת בעת מתן פסק הדין בהסכמה. האישה טוענת בשורה התחתונה כי היא זכאית לתבוע תביעה עצמאית של מזונות הקטינה וכי היא זכאית להעלאת המזונות באופן משמעותי.</w:t>
      </w:r>
    </w:p>
    <w:p w:rsidR="00501CE0" w:rsidRDefault="00501CE0" w:rsidP="00501CE0">
      <w:pPr>
        <w:pStyle w:val="af"/>
        <w:spacing w:after="0" w:line="360" w:lineRule="auto"/>
        <w:ind w:left="567"/>
        <w:jc w:val="both"/>
        <w:rPr>
          <w:rFonts w:ascii="David" w:hAnsi="David" w:cs="David"/>
          <w:sz w:val="24"/>
          <w:szCs w:val="24"/>
        </w:rPr>
      </w:pPr>
    </w:p>
    <w:p w:rsidR="00501CE0" w:rsidRDefault="00501CE0" w:rsidP="00501CE0">
      <w:pPr>
        <w:pStyle w:val="af"/>
        <w:numPr>
          <w:ilvl w:val="0"/>
          <w:numId w:val="1"/>
        </w:numPr>
        <w:spacing w:after="0" w:line="360" w:lineRule="auto"/>
        <w:jc w:val="both"/>
        <w:rPr>
          <w:rFonts w:ascii="David" w:hAnsi="David" w:cs="David"/>
          <w:sz w:val="24"/>
          <w:szCs w:val="24"/>
        </w:rPr>
      </w:pPr>
      <w:r>
        <w:rPr>
          <w:rFonts w:ascii="David" w:hAnsi="David" w:cs="David"/>
          <w:b/>
          <w:bCs/>
          <w:sz w:val="24"/>
          <w:szCs w:val="24"/>
          <w:rtl/>
        </w:rPr>
        <w:t>האיש עותר לדחיית התביעה</w:t>
      </w:r>
      <w:r>
        <w:rPr>
          <w:rFonts w:ascii="David" w:hAnsi="David" w:cs="David"/>
          <w:sz w:val="24"/>
          <w:szCs w:val="24"/>
          <w:rtl/>
        </w:rPr>
        <w:t xml:space="preserve">. האב טוען כי התביעה הוגשה בחוסר תום לב קיצוני וממניעים טקטיים תוך שימוש לרעה בהליכי משפט כפי שאף האישה מודה בתביעתה כי היא תולדה של התביעה בעקבות תביעה לביטול מזונות שהוא הגיש כנגדה. לטענת האיש, צרכיה של הקטינה עומדים ע"ס 4,400 ₪ לחודש בשני הבתים ויש להכריע בשאלת חלוקת הנטל בהתאם ליכולתם הכלכלית של הצדדים כמתחייב מהפסיקה העדכנית. </w:t>
      </w:r>
    </w:p>
    <w:p w:rsidR="00501CE0" w:rsidRDefault="00501CE0" w:rsidP="00501CE0">
      <w:pPr>
        <w:pStyle w:val="af"/>
        <w:rPr>
          <w:rFonts w:ascii="David" w:hAnsi="David" w:cs="David"/>
          <w:sz w:val="24"/>
          <w:szCs w:val="24"/>
        </w:rPr>
      </w:pPr>
    </w:p>
    <w:p w:rsidR="00501CE0" w:rsidRDefault="00501CE0" w:rsidP="00501CE0">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בסעיף 6 לסיכומיה ציינה האישה כי מיום מתן פסק הדין בהסכמה השתנו הנסיבות באופן הבא: </w:t>
      </w:r>
    </w:p>
    <w:p w:rsidR="00501CE0" w:rsidRDefault="00501CE0" w:rsidP="00501CE0">
      <w:pPr>
        <w:spacing w:line="360" w:lineRule="auto"/>
        <w:ind w:left="567"/>
        <w:jc w:val="both"/>
        <w:rPr>
          <w:rFonts w:ascii="David" w:hAnsi="David"/>
        </w:rPr>
      </w:pPr>
      <w:r>
        <w:rPr>
          <w:rFonts w:ascii="David" w:hAnsi="David"/>
          <w:rtl/>
        </w:rPr>
        <w:t>שיפור חסר תקדים במצבו הכלכלי של האיש אשר מרוויח כ – 150% יותר מהכנסתו הפנויה לעומת יום מתן פסק הדין בהסכמה. האיש הכמין את מצבו הכלכלי האמיתי.</w:t>
      </w:r>
    </w:p>
    <w:p w:rsidR="00501CE0" w:rsidRDefault="00501CE0" w:rsidP="00501CE0">
      <w:pPr>
        <w:spacing w:line="360" w:lineRule="auto"/>
        <w:ind w:firstLine="567"/>
        <w:jc w:val="both"/>
        <w:rPr>
          <w:rFonts w:ascii="David" w:hAnsi="David"/>
        </w:rPr>
      </w:pPr>
      <w:r>
        <w:rPr>
          <w:rFonts w:ascii="David" w:hAnsi="David"/>
          <w:rtl/>
        </w:rPr>
        <w:t>סגירת 80% מעסקיה אביה אשר תומך כלכלית בה ובקטינה.</w:t>
      </w:r>
    </w:p>
    <w:p w:rsidR="00501CE0" w:rsidRDefault="00501CE0" w:rsidP="00501CE0">
      <w:pPr>
        <w:spacing w:line="360" w:lineRule="auto"/>
        <w:ind w:firstLine="567"/>
        <w:jc w:val="both"/>
        <w:rPr>
          <w:rFonts w:ascii="David" w:hAnsi="David"/>
        </w:rPr>
      </w:pPr>
      <w:r>
        <w:rPr>
          <w:rFonts w:ascii="David" w:hAnsi="David"/>
          <w:rtl/>
        </w:rPr>
        <w:t>שינוי זניח בזמני השהות -  הוספת יומיים בחודש שהחל כבר לפני ארבע שנים.</w:t>
      </w:r>
    </w:p>
    <w:p w:rsidR="00501CE0" w:rsidRDefault="00501CE0" w:rsidP="00501CE0">
      <w:pPr>
        <w:pStyle w:val="af"/>
        <w:rPr>
          <w:rFonts w:ascii="David" w:hAnsi="David" w:cs="David"/>
          <w:sz w:val="24"/>
          <w:szCs w:val="24"/>
        </w:rPr>
      </w:pPr>
    </w:p>
    <w:p w:rsidR="00A554A5" w:rsidRDefault="00A554A5" w:rsidP="00501CE0">
      <w:pPr>
        <w:spacing w:line="360" w:lineRule="auto"/>
        <w:jc w:val="both"/>
        <w:rPr>
          <w:rFonts w:ascii="David" w:hAnsi="David"/>
          <w:b/>
          <w:bCs/>
          <w:sz w:val="28"/>
          <w:szCs w:val="28"/>
          <w:u w:val="single"/>
          <w:rtl/>
        </w:rPr>
      </w:pPr>
    </w:p>
    <w:p w:rsidR="00A554A5" w:rsidRDefault="00A554A5" w:rsidP="00501CE0">
      <w:pPr>
        <w:spacing w:line="360" w:lineRule="auto"/>
        <w:jc w:val="both"/>
        <w:rPr>
          <w:rFonts w:ascii="David" w:hAnsi="David"/>
          <w:b/>
          <w:bCs/>
          <w:sz w:val="28"/>
          <w:szCs w:val="28"/>
          <w:u w:val="single"/>
          <w:rtl/>
        </w:rPr>
      </w:pPr>
    </w:p>
    <w:p w:rsidR="00501CE0" w:rsidRDefault="00501CE0" w:rsidP="00501CE0">
      <w:pPr>
        <w:spacing w:line="360" w:lineRule="auto"/>
        <w:jc w:val="both"/>
        <w:rPr>
          <w:rFonts w:ascii="David" w:hAnsi="David"/>
          <w:b/>
          <w:bCs/>
          <w:sz w:val="28"/>
          <w:szCs w:val="28"/>
          <w:u w:val="single"/>
          <w:rtl/>
        </w:rPr>
      </w:pPr>
      <w:r>
        <w:rPr>
          <w:rFonts w:ascii="David" w:hAnsi="David"/>
          <w:b/>
          <w:bCs/>
          <w:sz w:val="28"/>
          <w:szCs w:val="28"/>
          <w:u w:val="single"/>
          <w:rtl/>
        </w:rPr>
        <w:lastRenderedPageBreak/>
        <w:t>דיון והכרעה</w:t>
      </w:r>
    </w:p>
    <w:p w:rsidR="00501CE0" w:rsidRDefault="00501CE0" w:rsidP="00501CE0">
      <w:pPr>
        <w:pStyle w:val="af"/>
        <w:numPr>
          <w:ilvl w:val="0"/>
          <w:numId w:val="1"/>
        </w:numPr>
        <w:spacing w:after="0" w:line="360" w:lineRule="auto"/>
        <w:jc w:val="both"/>
        <w:rPr>
          <w:rFonts w:ascii="David" w:hAnsi="David" w:cs="David"/>
          <w:color w:val="222222"/>
          <w:sz w:val="24"/>
          <w:szCs w:val="24"/>
        </w:rPr>
      </w:pPr>
      <w:r>
        <w:rPr>
          <w:rFonts w:ascii="David" w:hAnsi="David" w:cs="David"/>
          <w:color w:val="222222"/>
          <w:sz w:val="24"/>
          <w:szCs w:val="24"/>
          <w:rtl/>
        </w:rPr>
        <w:t>בבג"ץ 4407/12 </w:t>
      </w:r>
      <w:r>
        <w:rPr>
          <w:rFonts w:ascii="Miriam" w:hAnsi="Miriam" w:cs="Miriam"/>
          <w:color w:val="222222"/>
          <w:rtl/>
        </w:rPr>
        <w:t>פלוני נ' בית הדין הרבני הגדול לערעורים</w:t>
      </w:r>
      <w:r>
        <w:rPr>
          <w:rFonts w:ascii="David" w:hAnsi="David" w:cs="David"/>
          <w:color w:val="222222"/>
          <w:sz w:val="24"/>
          <w:szCs w:val="24"/>
          <w:rtl/>
        </w:rPr>
        <w:t xml:space="preserve"> (7.2.2013) דן בית המשפט העליון בהרחבה בהבדלים בין הגשת תביעה עצמאית בשם קטינים </w:t>
      </w:r>
      <w:r>
        <w:rPr>
          <w:rFonts w:ascii="Miriam" w:hAnsi="Miriam" w:cs="Miriam"/>
          <w:color w:val="222222"/>
          <w:rtl/>
        </w:rPr>
        <w:t>לאחר</w:t>
      </w:r>
      <w:r>
        <w:rPr>
          <w:rFonts w:ascii="David" w:hAnsi="David" w:cs="David"/>
          <w:color w:val="222222"/>
          <w:sz w:val="24"/>
          <w:szCs w:val="24"/>
          <w:rtl/>
        </w:rPr>
        <w:t xml:space="preserve"> שנחתם הסכם כולל בין הוריהם לבין תביעה לשינוי מזונות שנקבעו בהסכם בשל שינוי נסיבות. נקודת המוצא אותה יש לבחון האם עניינן של מזונות הקטינה לא נבחן כראוי:</w:t>
      </w:r>
    </w:p>
    <w:p w:rsidR="00501CE0" w:rsidRDefault="00501CE0" w:rsidP="00501CE0">
      <w:pPr>
        <w:pStyle w:val="af"/>
        <w:shd w:val="clear" w:color="auto" w:fill="FFFFFF"/>
        <w:spacing w:line="330" w:lineRule="atLeast"/>
        <w:ind w:left="567"/>
        <w:jc w:val="both"/>
        <w:rPr>
          <w:rFonts w:ascii="David" w:hAnsi="David" w:cs="David"/>
          <w:color w:val="222222"/>
          <w:sz w:val="24"/>
          <w:szCs w:val="24"/>
          <w:rtl/>
        </w:rPr>
      </w:pPr>
      <w:r>
        <w:rPr>
          <w:rFonts w:ascii="David" w:hAnsi="David" w:cs="David"/>
          <w:b/>
          <w:bCs/>
          <w:color w:val="222222"/>
          <w:sz w:val="24"/>
          <w:szCs w:val="24"/>
          <w:rtl/>
        </w:rPr>
        <w:t>"[....] הרציונל שבבסיס מוסד התביעה העצמאית. כאמור, ההנחה היא כי בלהט ההתכתשות בין ההורים, נזנח עניינו של הקטין, ועל מנת להבטיח את טובתו, אל לנו להסתפק בהסכם אליו הגיעו הוריו של הקטין, ולכן נדרש בית המשפט לתהות על קנקנו של ההסכם ולוודא שהוא אכן תואם את טובת הקטין ועונה באופן ראוי לצרכיו....".</w:t>
      </w:r>
    </w:p>
    <w:p w:rsidR="00501CE0" w:rsidRDefault="00501CE0" w:rsidP="00501CE0">
      <w:pPr>
        <w:pStyle w:val="af"/>
        <w:shd w:val="clear" w:color="auto" w:fill="FFFFFF"/>
        <w:spacing w:line="330" w:lineRule="atLeast"/>
        <w:ind w:left="567"/>
        <w:jc w:val="both"/>
        <w:rPr>
          <w:rFonts w:ascii="David" w:hAnsi="David" w:cs="David"/>
          <w:color w:val="222222"/>
          <w:sz w:val="24"/>
          <w:szCs w:val="24"/>
          <w:rtl/>
        </w:rPr>
      </w:pPr>
      <w:r>
        <w:rPr>
          <w:rFonts w:ascii="David" w:hAnsi="David" w:cs="David"/>
          <w:color w:val="222222"/>
          <w:sz w:val="24"/>
          <w:szCs w:val="24"/>
          <w:rtl/>
        </w:rPr>
        <w:t>ראו: בג"ץ 4407/12 </w:t>
      </w:r>
      <w:r>
        <w:rPr>
          <w:rFonts w:ascii="Miriam" w:hAnsi="Miriam" w:cs="Miriam"/>
          <w:color w:val="222222"/>
          <w:sz w:val="24"/>
          <w:szCs w:val="24"/>
          <w:rtl/>
        </w:rPr>
        <w:t>פלוני נ' בית הדין הרבני הגדול לערעורים</w:t>
      </w:r>
      <w:r>
        <w:rPr>
          <w:rFonts w:ascii="David" w:hAnsi="David" w:cs="David"/>
          <w:color w:val="222222"/>
          <w:sz w:val="24"/>
          <w:szCs w:val="24"/>
          <w:rtl/>
        </w:rPr>
        <w:t> (7.2.2013), סעיף 16 לפסק דינו של כב' השופט עמית.</w:t>
      </w:r>
    </w:p>
    <w:p w:rsidR="00207D49" w:rsidRDefault="00207D49" w:rsidP="00501CE0">
      <w:pPr>
        <w:pStyle w:val="af"/>
        <w:shd w:val="clear" w:color="auto" w:fill="FFFFFF"/>
        <w:spacing w:line="330" w:lineRule="atLeast"/>
        <w:ind w:left="567"/>
        <w:jc w:val="both"/>
        <w:rPr>
          <w:rFonts w:ascii="David" w:hAnsi="David" w:cs="David"/>
          <w:color w:val="222222"/>
          <w:sz w:val="24"/>
          <w:szCs w:val="24"/>
          <w:rtl/>
        </w:rPr>
      </w:pPr>
    </w:p>
    <w:p w:rsidR="00501CE0" w:rsidRDefault="00501CE0" w:rsidP="00501CE0">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אולם לא ניתן להסתפק בהעלאת טענה בעלמא כי הקטינה קופחה, ויש להוכיח טענה זו. לשם כך על האם להוכיח את מצבם הכלכלי של שני ההורים, את צרכי הקטינה, את ההסכמות בהסכם שאינן מספקיות לקטינה את שנדרש לה:</w:t>
      </w:r>
    </w:p>
    <w:p w:rsidR="00501CE0" w:rsidRDefault="00501CE0" w:rsidP="00501CE0">
      <w:pPr>
        <w:pStyle w:val="af"/>
        <w:rPr>
          <w:rFonts w:ascii="David" w:hAnsi="David" w:cs="David"/>
          <w:b/>
          <w:bCs/>
          <w:sz w:val="24"/>
          <w:szCs w:val="24"/>
        </w:rPr>
      </w:pPr>
    </w:p>
    <w:p w:rsidR="00501CE0" w:rsidRDefault="00501CE0" w:rsidP="00501CE0">
      <w:pPr>
        <w:pStyle w:val="af"/>
        <w:spacing w:line="360" w:lineRule="auto"/>
        <w:ind w:left="567"/>
        <w:jc w:val="both"/>
        <w:rPr>
          <w:rFonts w:ascii="David" w:hAnsi="David" w:cs="David"/>
          <w:b/>
          <w:bCs/>
          <w:sz w:val="24"/>
          <w:szCs w:val="24"/>
          <w:rtl/>
        </w:rPr>
      </w:pPr>
      <w:r>
        <w:rPr>
          <w:rFonts w:ascii="David" w:hAnsi="David" w:cs="David"/>
          <w:b/>
          <w:bCs/>
          <w:sz w:val="24"/>
          <w:szCs w:val="24"/>
          <w:rtl/>
        </w:rPr>
        <w:t xml:space="preserve">"יש לבחון האם בפועל הקטינים אכן קופחו בסכום המזונות שנפסק לזכותם בעת אישור הסכם הגירושין. במסגרת זו, על </w:t>
      </w:r>
      <w:smartTag w:uri="urn:schemas-microsoft-com:office:smarttags" w:element="PersonName">
        <w:smartTagPr>
          <w:attr w:name="ProductID" w:val="בית המשפט"/>
        </w:smartTagPr>
        <w:r>
          <w:rPr>
            <w:rFonts w:ascii="David" w:hAnsi="David" w:cs="David"/>
            <w:b/>
            <w:bCs/>
            <w:sz w:val="24"/>
            <w:szCs w:val="24"/>
            <w:rtl/>
          </w:rPr>
          <w:t>בית המשפט</w:t>
        </w:r>
      </w:smartTag>
      <w:r>
        <w:rPr>
          <w:rFonts w:ascii="David" w:hAnsi="David" w:cs="David"/>
          <w:b/>
          <w:bCs/>
          <w:sz w:val="24"/>
          <w:szCs w:val="24"/>
          <w:rtl/>
        </w:rPr>
        <w:t xml:space="preserve"> לבחון את גילו של הקטין, צרכי הקטין הבסיסיים, צרכיו המיוחדים והכנסות כל אחד מההורים. ככל שנמצא כי הקטין לא קופח במזונותיו, הרי שאין טעם "לפתוח" את ההסכם, אף אם לא נתמלאה הדרישה הראשונה של דיון ענייני במזונות הקטינים. </w:t>
      </w:r>
    </w:p>
    <w:p w:rsidR="00501CE0" w:rsidRDefault="00501CE0" w:rsidP="00501CE0">
      <w:pPr>
        <w:pStyle w:val="af"/>
        <w:spacing w:line="360" w:lineRule="auto"/>
        <w:ind w:left="567"/>
        <w:jc w:val="both"/>
        <w:rPr>
          <w:rFonts w:ascii="David" w:hAnsi="David" w:cs="David"/>
          <w:b/>
          <w:bCs/>
          <w:sz w:val="24"/>
          <w:szCs w:val="24"/>
          <w:rtl/>
        </w:rPr>
      </w:pPr>
      <w:r>
        <w:rPr>
          <w:rFonts w:ascii="David" w:hAnsi="David" w:cs="David"/>
          <w:b/>
          <w:bCs/>
          <w:sz w:val="24"/>
          <w:szCs w:val="24"/>
          <w:rtl/>
        </w:rPr>
        <w:t>עם זאת, במקרה של</w:t>
      </w:r>
      <w:r>
        <w:rPr>
          <w:rtl/>
        </w:rPr>
        <w:t xml:space="preserve"> </w:t>
      </w:r>
      <w:r>
        <w:rPr>
          <w:rFonts w:ascii="Times New Roman" w:hAnsi="Times New Roman" w:cs="Miriam"/>
          <w:sz w:val="28"/>
          <w:szCs w:val="24"/>
          <w:rtl/>
        </w:rPr>
        <w:t>קיפוח מהותי</w:t>
      </w:r>
      <w:r>
        <w:rPr>
          <w:rtl/>
        </w:rPr>
        <w:t xml:space="preserve"> </w:t>
      </w:r>
      <w:r>
        <w:rPr>
          <w:rFonts w:ascii="David" w:hAnsi="David" w:cs="David"/>
          <w:b/>
          <w:bCs/>
          <w:sz w:val="24"/>
          <w:szCs w:val="24"/>
          <w:rtl/>
        </w:rPr>
        <w:t>הזועק על פניו לגבי מזונות הקטין, מה לי תביעה עצמאית ומה לי תביעה להגדלת מזונות, בשני המקרים, שומה על בית המשפט לבחון מחדש את מזונות הקטין.."</w:t>
      </w:r>
    </w:p>
    <w:p w:rsidR="00501CE0" w:rsidRDefault="00501CE0" w:rsidP="00501CE0">
      <w:pPr>
        <w:pStyle w:val="af"/>
        <w:spacing w:line="360" w:lineRule="auto"/>
        <w:ind w:left="567"/>
        <w:jc w:val="both"/>
        <w:rPr>
          <w:rFonts w:ascii="David" w:hAnsi="David" w:cs="David"/>
          <w:sz w:val="24"/>
          <w:szCs w:val="24"/>
        </w:rPr>
      </w:pPr>
      <w:r>
        <w:rPr>
          <w:rFonts w:ascii="David" w:hAnsi="David" w:cs="David"/>
          <w:sz w:val="24"/>
          <w:szCs w:val="24"/>
          <w:rtl/>
        </w:rPr>
        <w:t xml:space="preserve">ראו: בג"ץ 4407/12 </w:t>
      </w:r>
      <w:r>
        <w:rPr>
          <w:rFonts w:ascii="Miriam" w:hAnsi="Miriam" w:cs="Miriam"/>
          <w:sz w:val="24"/>
          <w:szCs w:val="24"/>
          <w:rtl/>
        </w:rPr>
        <w:t>פלוני נ' בית הדין הרבני הגדול לערעורים</w:t>
      </w:r>
      <w:r>
        <w:rPr>
          <w:rFonts w:ascii="David" w:hAnsi="David" w:cs="David"/>
          <w:sz w:val="24"/>
          <w:szCs w:val="24"/>
          <w:rtl/>
        </w:rPr>
        <w:t xml:space="preserve"> (7.2.2013), סעיף 19 לפסק דינו של כב' השופט עמית.</w:t>
      </w:r>
    </w:p>
    <w:p w:rsidR="00501CE0" w:rsidRDefault="00501CE0" w:rsidP="00501CE0">
      <w:pPr>
        <w:pStyle w:val="af"/>
        <w:shd w:val="clear" w:color="auto" w:fill="FFFFFF"/>
        <w:spacing w:line="330" w:lineRule="atLeast"/>
        <w:ind w:left="567"/>
        <w:jc w:val="both"/>
        <w:rPr>
          <w:rFonts w:ascii="David" w:hAnsi="David" w:cs="David"/>
          <w:color w:val="222222"/>
          <w:sz w:val="24"/>
          <w:szCs w:val="24"/>
          <w:rtl/>
        </w:rPr>
      </w:pPr>
    </w:p>
    <w:p w:rsidR="00501CE0" w:rsidRDefault="00501CE0" w:rsidP="00501CE0">
      <w:pPr>
        <w:pStyle w:val="af"/>
        <w:rPr>
          <w:rFonts w:ascii="David" w:hAnsi="David" w:cs="David"/>
          <w:color w:val="222222"/>
          <w:sz w:val="24"/>
          <w:szCs w:val="24"/>
          <w:rtl/>
        </w:rPr>
      </w:pPr>
    </w:p>
    <w:p w:rsidR="00501CE0" w:rsidRDefault="00501CE0" w:rsidP="00501CE0">
      <w:pPr>
        <w:pStyle w:val="af"/>
        <w:numPr>
          <w:ilvl w:val="0"/>
          <w:numId w:val="1"/>
        </w:numPr>
        <w:spacing w:after="0" w:line="360" w:lineRule="auto"/>
        <w:jc w:val="both"/>
        <w:rPr>
          <w:rFonts w:ascii="David" w:hAnsi="David" w:cs="David"/>
          <w:color w:val="222222"/>
          <w:sz w:val="24"/>
          <w:szCs w:val="24"/>
        </w:rPr>
      </w:pPr>
      <w:r>
        <w:rPr>
          <w:rFonts w:ascii="David" w:hAnsi="David" w:cs="David"/>
          <w:b/>
          <w:bCs/>
          <w:color w:val="222222"/>
          <w:sz w:val="24"/>
          <w:szCs w:val="24"/>
          <w:rtl/>
        </w:rPr>
        <w:t xml:space="preserve">לאחר בחינת טענות הצדדים וראיותיהם, דין התביעה להידחות כפי שיפורט להלן. </w:t>
      </w:r>
    </w:p>
    <w:p w:rsidR="00501CE0" w:rsidRDefault="00501CE0" w:rsidP="00501CE0">
      <w:pPr>
        <w:pStyle w:val="af"/>
        <w:rPr>
          <w:rFonts w:ascii="David" w:hAnsi="David" w:cs="David"/>
          <w:color w:val="222222"/>
          <w:sz w:val="24"/>
          <w:szCs w:val="24"/>
          <w:rtl/>
        </w:rPr>
      </w:pPr>
    </w:p>
    <w:p w:rsidR="00501CE0" w:rsidRDefault="00501CE0" w:rsidP="00501CE0">
      <w:pPr>
        <w:pStyle w:val="af"/>
        <w:numPr>
          <w:ilvl w:val="0"/>
          <w:numId w:val="1"/>
        </w:numPr>
        <w:spacing w:after="0" w:line="360" w:lineRule="auto"/>
        <w:jc w:val="both"/>
        <w:rPr>
          <w:rFonts w:ascii="David" w:hAnsi="David" w:cs="David"/>
          <w:b/>
          <w:bCs/>
          <w:color w:val="222222"/>
          <w:sz w:val="24"/>
          <w:szCs w:val="24"/>
          <w:rtl/>
        </w:rPr>
      </w:pPr>
      <w:r>
        <w:rPr>
          <w:rFonts w:ascii="David" w:hAnsi="David" w:cs="David"/>
          <w:b/>
          <w:bCs/>
          <w:sz w:val="24"/>
          <w:szCs w:val="24"/>
          <w:rtl/>
        </w:rPr>
        <w:t xml:space="preserve">בענייננו כפי שיפורט להלן, האישה לא עמדה במבחנים שנקבעו – לא להגשת תביעה עצמאית ולא לתביעה בשל שינוי נסיבות. יתרה מכך, האישה לא נתנה משקל מספק לעובדה כי תביעתה הוגשה בחלוף כשש שנים מאז אישור ההסכם </w:t>
      </w:r>
      <w:r>
        <w:rPr>
          <w:rFonts w:ascii="David" w:hAnsi="David" w:cs="David"/>
          <w:b/>
          <w:bCs/>
          <w:sz w:val="24"/>
          <w:szCs w:val="24"/>
          <w:u w:val="single"/>
          <w:rtl/>
        </w:rPr>
        <w:t>ובהמשך ישיר לתביעה</w:t>
      </w:r>
      <w:r>
        <w:rPr>
          <w:rFonts w:ascii="David" w:hAnsi="David" w:cs="David"/>
          <w:b/>
          <w:bCs/>
          <w:sz w:val="24"/>
          <w:szCs w:val="24"/>
          <w:rtl/>
        </w:rPr>
        <w:t xml:space="preserve"> שהגיש האיש לביטול חיובו במזונות הקטינה</w:t>
      </w:r>
      <w:r>
        <w:rPr>
          <w:rFonts w:ascii="David" w:hAnsi="David" w:cs="David"/>
          <w:b/>
          <w:bCs/>
          <w:color w:val="222222"/>
          <w:sz w:val="24"/>
          <w:szCs w:val="24"/>
          <w:rtl/>
        </w:rPr>
        <w:t>. האישה לא הוכיחה כי זכויות הקטינה קופחו, נפגעו וכי גם היום משהו מזכויותיה נפגע או לא מסופק.</w:t>
      </w:r>
    </w:p>
    <w:p w:rsidR="00501CE0" w:rsidRDefault="00501CE0" w:rsidP="00501CE0">
      <w:pPr>
        <w:pStyle w:val="af"/>
        <w:rPr>
          <w:rFonts w:ascii="David" w:hAnsi="David" w:cs="David"/>
          <w:b/>
          <w:bCs/>
          <w:color w:val="222222"/>
          <w:sz w:val="24"/>
          <w:szCs w:val="24"/>
        </w:rPr>
      </w:pPr>
    </w:p>
    <w:p w:rsidR="00501CE0" w:rsidRDefault="00501CE0" w:rsidP="00501CE0">
      <w:pPr>
        <w:pStyle w:val="af"/>
        <w:numPr>
          <w:ilvl w:val="0"/>
          <w:numId w:val="1"/>
        </w:numPr>
        <w:spacing w:after="0" w:line="360" w:lineRule="auto"/>
        <w:jc w:val="both"/>
        <w:rPr>
          <w:rFonts w:ascii="David" w:hAnsi="David" w:cs="David"/>
          <w:color w:val="222222"/>
          <w:sz w:val="24"/>
          <w:szCs w:val="24"/>
          <w:rtl/>
        </w:rPr>
      </w:pPr>
      <w:r>
        <w:rPr>
          <w:rFonts w:ascii="David" w:hAnsi="David" w:cs="David"/>
          <w:color w:val="222222"/>
          <w:sz w:val="24"/>
          <w:szCs w:val="24"/>
          <w:rtl/>
        </w:rPr>
        <w:t>האישה חזרה וצי</w:t>
      </w:r>
      <w:r w:rsidR="007926FD">
        <w:rPr>
          <w:rFonts w:ascii="David" w:hAnsi="David" w:cs="David" w:hint="cs"/>
          <w:color w:val="222222"/>
          <w:sz w:val="24"/>
          <w:szCs w:val="24"/>
          <w:rtl/>
        </w:rPr>
        <w:t>י</w:t>
      </w:r>
      <w:r>
        <w:rPr>
          <w:rFonts w:ascii="David" w:hAnsi="David" w:cs="David"/>
          <w:color w:val="222222"/>
          <w:sz w:val="24"/>
          <w:szCs w:val="24"/>
          <w:rtl/>
        </w:rPr>
        <w:t xml:space="preserve">נה בריש גלי כי הגישה את התביעה רק כ"תביעת נגד" מאחר והאיש הגיש את תביעתו. בכל הכבוד זה אינו נימוק משכנע לעילת התביעה כלל. </w:t>
      </w:r>
    </w:p>
    <w:p w:rsidR="00501CE0" w:rsidRDefault="00501CE0" w:rsidP="00501CE0">
      <w:pPr>
        <w:pStyle w:val="af"/>
        <w:shd w:val="clear" w:color="auto" w:fill="FFFFFF"/>
        <w:spacing w:line="330" w:lineRule="atLeast"/>
        <w:ind w:left="567"/>
        <w:jc w:val="both"/>
        <w:rPr>
          <w:rFonts w:ascii="David" w:hAnsi="David" w:cs="David"/>
          <w:color w:val="222222"/>
          <w:sz w:val="24"/>
          <w:szCs w:val="24"/>
          <w:rtl/>
        </w:rPr>
      </w:pPr>
    </w:p>
    <w:p w:rsidR="00501CE0" w:rsidRDefault="00501CE0" w:rsidP="00501CE0">
      <w:pPr>
        <w:pStyle w:val="af"/>
        <w:numPr>
          <w:ilvl w:val="0"/>
          <w:numId w:val="1"/>
        </w:numPr>
        <w:spacing w:after="0" w:line="360" w:lineRule="auto"/>
        <w:jc w:val="both"/>
        <w:rPr>
          <w:rFonts w:ascii="David" w:hAnsi="David" w:cs="David"/>
          <w:color w:val="222222"/>
          <w:sz w:val="24"/>
          <w:szCs w:val="24"/>
          <w:rtl/>
        </w:rPr>
      </w:pPr>
      <w:r>
        <w:rPr>
          <w:rFonts w:ascii="David" w:hAnsi="David" w:cs="David"/>
          <w:color w:val="222222"/>
          <w:sz w:val="24"/>
          <w:szCs w:val="24"/>
          <w:rtl/>
        </w:rPr>
        <w:t xml:space="preserve">הסכמות הצדדים אושרו וקיבלו תוקף של פסק דין ביום 1.6.2014 כאשר כל צד היה מיוצג. סעיף המזונות מפורט ואף מדורג בהתחשב בגילה של הקטינה וצריכה. </w:t>
      </w:r>
    </w:p>
    <w:p w:rsidR="00501CE0" w:rsidRDefault="00501CE0" w:rsidP="00501CE0">
      <w:pPr>
        <w:pStyle w:val="af"/>
        <w:rPr>
          <w:rFonts w:ascii="David" w:hAnsi="David" w:cs="David"/>
          <w:color w:val="222222"/>
          <w:sz w:val="24"/>
          <w:szCs w:val="24"/>
        </w:rPr>
      </w:pPr>
    </w:p>
    <w:p w:rsidR="00501CE0" w:rsidRDefault="00501CE0" w:rsidP="00501CE0">
      <w:pPr>
        <w:pStyle w:val="af"/>
        <w:numPr>
          <w:ilvl w:val="0"/>
          <w:numId w:val="1"/>
        </w:numPr>
        <w:spacing w:after="0" w:line="360" w:lineRule="auto"/>
        <w:jc w:val="both"/>
        <w:rPr>
          <w:rFonts w:ascii="David" w:hAnsi="David" w:cs="David"/>
          <w:color w:val="222222"/>
          <w:sz w:val="24"/>
          <w:szCs w:val="24"/>
        </w:rPr>
      </w:pPr>
      <w:r>
        <w:rPr>
          <w:rFonts w:ascii="David" w:hAnsi="David" w:cs="David"/>
          <w:color w:val="222222"/>
          <w:sz w:val="24"/>
          <w:szCs w:val="24"/>
          <w:rtl/>
        </w:rPr>
        <w:t xml:space="preserve">הסדר המזונות כולל תשלום מזונות כולל בסך של 3,200 ₪  כאשר 2,000 ₪ מתוך סך הינו עבור דמי המזונות והסך הנוסף עבור רכיב הגן. אולם הסתכלות זו אינה מדויקת על פי ההסכם הכולל, והסתכלות רק על סכום זה במנותק משאר ההסכמות פוגעת במכלול ההסכמות השלובות. </w:t>
      </w:r>
    </w:p>
    <w:p w:rsidR="00501CE0" w:rsidRDefault="00501CE0" w:rsidP="00501CE0">
      <w:pPr>
        <w:pStyle w:val="af"/>
        <w:rPr>
          <w:rFonts w:ascii="David" w:hAnsi="David" w:cs="David"/>
          <w:color w:val="222222"/>
          <w:rtl/>
        </w:rPr>
      </w:pPr>
    </w:p>
    <w:p w:rsidR="00501CE0" w:rsidRDefault="00501CE0" w:rsidP="00501CE0">
      <w:pPr>
        <w:pStyle w:val="af"/>
        <w:numPr>
          <w:ilvl w:val="0"/>
          <w:numId w:val="1"/>
        </w:numPr>
        <w:spacing w:after="0" w:line="360" w:lineRule="auto"/>
        <w:jc w:val="both"/>
        <w:rPr>
          <w:rFonts w:ascii="David" w:hAnsi="David" w:cs="David"/>
          <w:color w:val="222222"/>
          <w:sz w:val="24"/>
          <w:szCs w:val="24"/>
          <w:u w:val="single"/>
        </w:rPr>
      </w:pPr>
      <w:r>
        <w:rPr>
          <w:rFonts w:ascii="David" w:hAnsi="David" w:cs="David"/>
          <w:color w:val="222222"/>
          <w:sz w:val="24"/>
          <w:szCs w:val="24"/>
          <w:u w:val="single"/>
          <w:rtl/>
        </w:rPr>
        <w:t xml:space="preserve">מעבר לסכום של 2,000 ₪ לחודש הוסכם כי האב יישא בתשלומים הבאים, וכי יהיו ההסדרים הבאים מהמפורטים להלן: </w:t>
      </w:r>
    </w:p>
    <w:p w:rsidR="00501CE0" w:rsidRDefault="00501CE0" w:rsidP="00501CE0">
      <w:pPr>
        <w:pStyle w:val="a00"/>
        <w:numPr>
          <w:ilvl w:val="0"/>
          <w:numId w:val="3"/>
        </w:numPr>
        <w:shd w:val="clear" w:color="auto" w:fill="FFFFFF"/>
        <w:bidi/>
        <w:spacing w:before="0" w:beforeAutospacing="0" w:after="0" w:afterAutospacing="0" w:line="360" w:lineRule="auto"/>
        <w:ind w:left="1134" w:hanging="567"/>
        <w:jc w:val="both"/>
        <w:rPr>
          <w:rFonts w:ascii="David" w:hAnsi="David" w:cs="David"/>
          <w:color w:val="222222"/>
          <w:rtl/>
        </w:rPr>
      </w:pPr>
      <w:r>
        <w:rPr>
          <w:rFonts w:ascii="David" w:hAnsi="David" w:cs="David"/>
          <w:color w:val="222222"/>
          <w:rtl/>
        </w:rPr>
        <w:t>נקבע כי האב יישא במחצית הוצאות חינוך לרבות חוג אחד לקטינה, קייטנה, צהרון וזאת בעלות עירונית ציבורית, שכר לימוד, תגבור בלימודים במידת הצורך, ספרי לימוד וציוד לימודי.</w:t>
      </w:r>
    </w:p>
    <w:p w:rsidR="00501CE0" w:rsidRDefault="00501CE0" w:rsidP="00501CE0">
      <w:pPr>
        <w:pStyle w:val="a00"/>
        <w:numPr>
          <w:ilvl w:val="0"/>
          <w:numId w:val="3"/>
        </w:numPr>
        <w:shd w:val="clear" w:color="auto" w:fill="FFFFFF"/>
        <w:bidi/>
        <w:spacing w:before="0" w:beforeAutospacing="0" w:after="0" w:afterAutospacing="0" w:line="360" w:lineRule="auto"/>
        <w:ind w:left="1134" w:hanging="567"/>
        <w:jc w:val="both"/>
        <w:rPr>
          <w:rFonts w:ascii="David" w:hAnsi="David" w:cs="David"/>
          <w:color w:val="222222"/>
        </w:rPr>
      </w:pPr>
      <w:r>
        <w:rPr>
          <w:rFonts w:ascii="David" w:hAnsi="David" w:cs="David"/>
          <w:color w:val="222222"/>
          <w:rtl/>
        </w:rPr>
        <w:t>כמו כן נקבע כי האיש יישא במחצית ההוצאות הרפואיות החריגות שאינן מכוסות על ידי הביטוחים הרפואיים המשלימים והפרטיים הממונים על ידי הצדדים עבור הקטינה, לרבות טיפולים אורתודנטיים.</w:t>
      </w:r>
    </w:p>
    <w:p w:rsidR="00501CE0" w:rsidRDefault="00501CE0" w:rsidP="00501CE0">
      <w:pPr>
        <w:shd w:val="clear" w:color="auto" w:fill="FFFFFF"/>
        <w:spacing w:line="231" w:lineRule="atLeast"/>
        <w:rPr>
          <w:rFonts w:ascii="David" w:hAnsi="David" w:cstheme="minorBidi"/>
          <w:color w:val="222222"/>
        </w:rPr>
      </w:pPr>
    </w:p>
    <w:p w:rsidR="00501CE0" w:rsidRDefault="00501CE0" w:rsidP="00501CE0">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ההסכם כולל בתוכו שורה של הסכמות בנושאים שונים השלובים זה בזה. "ניתוק" של דמי המזונות בהתעלם מהסכמות ונושאים אחרים בהסכם וניסיון "לבודד" אותו משאר </w:t>
      </w:r>
      <w:r>
        <w:rPr>
          <w:rFonts w:ascii="David" w:hAnsi="David" w:cs="David"/>
          <w:color w:val="222222"/>
          <w:sz w:val="24"/>
          <w:szCs w:val="24"/>
          <w:u w:val="single"/>
          <w:rtl/>
        </w:rPr>
        <w:t>הנושאים</w:t>
      </w:r>
      <w:r>
        <w:rPr>
          <w:rFonts w:ascii="David" w:hAnsi="David" w:cs="David"/>
          <w:sz w:val="24"/>
          <w:szCs w:val="24"/>
          <w:rtl/>
        </w:rPr>
        <w:t xml:space="preserve"> בהם ההסכמות הנוגעות לזמני השהות (במסגרתו קבעו הרחבת הסדרי שהות מדורגת), עלול ליצור תמונה מוטית שאינה מתחשבת במלוא הנתונים והנסיבות. היא חוטאת לפרשנות של ההסכם ולמכלול הנושאים שהצדדים עצמם לקחו בחשבון ויצרו רקמה של חוטים השלובים זה בזה והתלויים זה בזה.</w:t>
      </w:r>
    </w:p>
    <w:p w:rsidR="00501CE0" w:rsidRDefault="00501CE0" w:rsidP="00501CE0">
      <w:pPr>
        <w:pStyle w:val="af"/>
        <w:spacing w:after="0" w:line="360" w:lineRule="auto"/>
        <w:ind w:left="567"/>
        <w:jc w:val="both"/>
        <w:rPr>
          <w:rFonts w:ascii="David" w:hAnsi="David" w:cs="David"/>
          <w:sz w:val="24"/>
          <w:szCs w:val="24"/>
          <w:rtl/>
        </w:rPr>
      </w:pPr>
    </w:p>
    <w:p w:rsidR="00501CE0" w:rsidRDefault="00501CE0" w:rsidP="00501CE0">
      <w:pPr>
        <w:pStyle w:val="af"/>
        <w:numPr>
          <w:ilvl w:val="0"/>
          <w:numId w:val="1"/>
        </w:numPr>
        <w:spacing w:after="0" w:line="360" w:lineRule="auto"/>
        <w:jc w:val="both"/>
        <w:rPr>
          <w:rFonts w:ascii="David" w:hAnsi="David" w:cs="David"/>
          <w:sz w:val="24"/>
          <w:szCs w:val="24"/>
        </w:rPr>
      </w:pPr>
      <w:r>
        <w:rPr>
          <w:rFonts w:ascii="David" w:hAnsi="David" w:cs="David"/>
          <w:sz w:val="24"/>
          <w:szCs w:val="24"/>
          <w:rtl/>
        </w:rPr>
        <w:t xml:space="preserve">לא די בטענה שחזרה ונשנתה כי חל שיפור במצבו הכלכלי של האיש והאם אינה עובדת ועל כן פסיקת מזונות של 2,000 ₪ מספיקה לכדי קיום צרכי הקטינה. הצגה זו מציגה את ההסכם באופן חלקי, מוטה ואף מגמתי. היא גם אינה נכונה בהתחשב בראיות שהוכחו על רמת החיים של האם כיום.  </w:t>
      </w:r>
    </w:p>
    <w:p w:rsidR="00501CE0" w:rsidRDefault="00501CE0" w:rsidP="00501CE0">
      <w:pPr>
        <w:pStyle w:val="af"/>
        <w:rPr>
          <w:rFonts w:ascii="David" w:hAnsi="David" w:cs="David"/>
          <w:sz w:val="24"/>
          <w:szCs w:val="24"/>
        </w:rPr>
      </w:pPr>
    </w:p>
    <w:p w:rsidR="00501CE0" w:rsidRDefault="00501CE0" w:rsidP="00501CE0">
      <w:pPr>
        <w:pStyle w:val="af"/>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 xml:space="preserve">התובעת טענה כי מצבה הכלכלי הורע לעומת שיפור חסר תקדים במצבו של האיש ויחד עם זאת הכנסותיה לרבות הוצאותיה לא השתנו. האישה ממשיכה להתקיים בממוצע באותו שכר כפי שהתקיימה בעת מתן פסק הדין בהסכמה וכן בתמיכה כלכלית מאת אביה. </w:t>
      </w:r>
    </w:p>
    <w:p w:rsidR="00501CE0" w:rsidRDefault="00501CE0" w:rsidP="00501CE0">
      <w:pPr>
        <w:pStyle w:val="af"/>
        <w:numPr>
          <w:ilvl w:val="0"/>
          <w:numId w:val="1"/>
        </w:numPr>
        <w:spacing w:after="0" w:line="360" w:lineRule="auto"/>
        <w:jc w:val="both"/>
        <w:rPr>
          <w:rFonts w:ascii="David" w:hAnsi="David" w:cs="David"/>
          <w:b/>
          <w:bCs/>
          <w:sz w:val="24"/>
          <w:szCs w:val="24"/>
        </w:rPr>
      </w:pPr>
      <w:r>
        <w:rPr>
          <w:rFonts w:ascii="David" w:hAnsi="David" w:cs="David"/>
          <w:sz w:val="24"/>
          <w:szCs w:val="24"/>
          <w:rtl/>
        </w:rPr>
        <w:t xml:space="preserve">בעת חקירת הצדדים נשאלה </w:t>
      </w:r>
      <w:r>
        <w:rPr>
          <w:rFonts w:ascii="David" w:hAnsi="David" w:cs="David"/>
          <w:b/>
          <w:bCs/>
          <w:sz w:val="24"/>
          <w:szCs w:val="24"/>
          <w:rtl/>
        </w:rPr>
        <w:t>האישה</w:t>
      </w:r>
      <w:r>
        <w:rPr>
          <w:rFonts w:ascii="David" w:hAnsi="David" w:cs="David"/>
          <w:sz w:val="24"/>
          <w:szCs w:val="24"/>
          <w:rtl/>
        </w:rPr>
        <w:t xml:space="preserve"> על  הכנסותיה והאם מספיקות לקיים אותה והקטינה והשיבה כי שכרה בעת שעבדה עמד ע"ס 6,500 ₪ ובנוסף לכך הוריה תמכו בה ואין זה מחובתם לכלכל את הקטינה (ראו: פרוט' מיום 4.11.2021, עמ' 19-20). עם זאת, לא התייחסה לתכנית חיסכון שיש בחשבונה ומה יתרתה. היא התקוממה בחקירה נחרצות על כך שהעזרה הכספית מאביה תחשב כשכר (עמ' 19-20). </w:t>
      </w:r>
    </w:p>
    <w:p w:rsidR="00501CE0" w:rsidRDefault="00501CE0" w:rsidP="00501CE0">
      <w:pPr>
        <w:pStyle w:val="af"/>
        <w:rPr>
          <w:rFonts w:ascii="David" w:hAnsi="David" w:cs="David"/>
          <w:b/>
          <w:bCs/>
          <w:sz w:val="24"/>
          <w:szCs w:val="24"/>
        </w:rPr>
      </w:pPr>
    </w:p>
    <w:p w:rsidR="00501CE0" w:rsidRDefault="00501CE0" w:rsidP="00501CE0">
      <w:pPr>
        <w:pStyle w:val="af"/>
        <w:numPr>
          <w:ilvl w:val="0"/>
          <w:numId w:val="1"/>
        </w:numPr>
        <w:spacing w:after="0" w:line="360" w:lineRule="auto"/>
        <w:jc w:val="both"/>
        <w:rPr>
          <w:rFonts w:ascii="David" w:hAnsi="David" w:cs="David"/>
          <w:sz w:val="24"/>
          <w:szCs w:val="24"/>
          <w:rtl/>
        </w:rPr>
      </w:pPr>
      <w:r>
        <w:rPr>
          <w:rFonts w:ascii="David" w:hAnsi="David" w:cs="David"/>
          <w:b/>
          <w:bCs/>
          <w:sz w:val="24"/>
          <w:szCs w:val="24"/>
          <w:rtl/>
        </w:rPr>
        <w:t>האישה</w:t>
      </w:r>
      <w:r>
        <w:rPr>
          <w:rFonts w:ascii="David" w:hAnsi="David" w:cs="David"/>
          <w:sz w:val="24"/>
          <w:szCs w:val="24"/>
          <w:rtl/>
        </w:rPr>
        <w:t xml:space="preserve"> בחקירתה הנגדית לא נתנה הסבר מניח את הדעת באשר להתנהלותה במזומן  וציינה כי אביה נותן לה כספים במזומן (ראו פרוטוקול מיום 4.11.2021 עמ' 26-27). טענת האישה כי אביה נותן לה כספים במזומן אינה מתיישבת עם עדותו של אביה לפיהן מעביר לבתו (האישה) כספים בהעברה לחשבונה (ראו פרוטוקול מיום 23.11.20 עמ' 36).</w:t>
      </w:r>
    </w:p>
    <w:p w:rsidR="00501CE0" w:rsidRDefault="00501CE0" w:rsidP="00501CE0">
      <w:pPr>
        <w:pStyle w:val="af"/>
        <w:spacing w:after="0" w:line="360" w:lineRule="auto"/>
        <w:ind w:left="567"/>
        <w:jc w:val="both"/>
        <w:rPr>
          <w:rFonts w:ascii="David" w:hAnsi="David" w:cs="David"/>
          <w:b/>
          <w:bCs/>
          <w:sz w:val="24"/>
          <w:szCs w:val="24"/>
          <w:rtl/>
        </w:rPr>
      </w:pPr>
    </w:p>
    <w:p w:rsidR="00501CE0" w:rsidRDefault="00501CE0" w:rsidP="00501CE0">
      <w:pPr>
        <w:pStyle w:val="af"/>
        <w:numPr>
          <w:ilvl w:val="0"/>
          <w:numId w:val="1"/>
        </w:numPr>
        <w:spacing w:after="0" w:line="360" w:lineRule="auto"/>
        <w:jc w:val="both"/>
        <w:rPr>
          <w:rFonts w:ascii="David" w:hAnsi="David" w:cs="David"/>
          <w:color w:val="222222"/>
          <w:sz w:val="24"/>
          <w:szCs w:val="24"/>
          <w:rtl/>
        </w:rPr>
      </w:pPr>
      <w:r>
        <w:rPr>
          <w:rFonts w:ascii="David" w:hAnsi="David" w:cs="David"/>
          <w:color w:val="222222"/>
          <w:sz w:val="24"/>
          <w:szCs w:val="24"/>
          <w:rtl/>
        </w:rPr>
        <w:t xml:space="preserve">לטענת </w:t>
      </w:r>
      <w:r>
        <w:rPr>
          <w:rFonts w:ascii="David" w:hAnsi="David" w:cs="David"/>
          <w:b/>
          <w:bCs/>
          <w:color w:val="222222"/>
          <w:sz w:val="24"/>
          <w:szCs w:val="24"/>
          <w:rtl/>
        </w:rPr>
        <w:t>האישה</w:t>
      </w:r>
      <w:r>
        <w:rPr>
          <w:rFonts w:ascii="David" w:hAnsi="David" w:cs="David"/>
          <w:color w:val="222222"/>
          <w:sz w:val="24"/>
          <w:szCs w:val="24"/>
          <w:rtl/>
        </w:rPr>
        <w:t xml:space="preserve">, עקב הרעה במצבה הכלכלי לעומת מועד בו ניתן פסק הדין בהסכמה יש להגדיל את חיובו של האיש בדמי מזונות לסך של 3,200 ₪. </w:t>
      </w:r>
      <w:r>
        <w:rPr>
          <w:rFonts w:ascii="David" w:hAnsi="David" w:cs="David"/>
          <w:b/>
          <w:bCs/>
          <w:color w:val="222222"/>
          <w:sz w:val="24"/>
          <w:szCs w:val="24"/>
          <w:rtl/>
        </w:rPr>
        <w:t>האישה</w:t>
      </w:r>
      <w:r>
        <w:rPr>
          <w:rFonts w:ascii="David" w:hAnsi="David" w:cs="David"/>
          <w:color w:val="222222"/>
          <w:sz w:val="24"/>
          <w:szCs w:val="24"/>
          <w:rtl/>
        </w:rPr>
        <w:t xml:space="preserve"> צירפה דפי חשבון בנק ודפי כרטיס </w:t>
      </w:r>
      <w:r>
        <w:rPr>
          <w:rFonts w:ascii="David" w:hAnsi="David" w:cs="David"/>
          <w:sz w:val="24"/>
          <w:szCs w:val="24"/>
          <w:rtl/>
        </w:rPr>
        <w:t>האשראי</w:t>
      </w:r>
      <w:r>
        <w:rPr>
          <w:rFonts w:ascii="David" w:hAnsi="David" w:cs="David"/>
          <w:color w:val="222222"/>
          <w:sz w:val="24"/>
          <w:szCs w:val="24"/>
          <w:rtl/>
        </w:rPr>
        <w:t xml:space="preserve"> מהם ניתן לראות חיים הכוללים מסעדות, בתי קפה וחנויות בגדים בשיעורים גבוהים מאוד שאינם מעידים על מחסור. </w:t>
      </w:r>
    </w:p>
    <w:p w:rsidR="00501CE0" w:rsidRDefault="00501CE0" w:rsidP="00501CE0">
      <w:pPr>
        <w:pStyle w:val="af"/>
        <w:rPr>
          <w:rFonts w:ascii="David" w:hAnsi="David" w:cs="David"/>
          <w:color w:val="222222"/>
          <w:sz w:val="24"/>
          <w:szCs w:val="24"/>
          <w:rtl/>
        </w:rPr>
      </w:pPr>
    </w:p>
    <w:p w:rsidR="00501CE0" w:rsidRDefault="00501CE0" w:rsidP="00501CE0">
      <w:pPr>
        <w:pStyle w:val="af"/>
        <w:numPr>
          <w:ilvl w:val="0"/>
          <w:numId w:val="1"/>
        </w:numPr>
        <w:spacing w:after="0" w:line="360" w:lineRule="auto"/>
        <w:jc w:val="both"/>
        <w:rPr>
          <w:rFonts w:ascii="David" w:hAnsi="David" w:cs="David"/>
          <w:color w:val="222222"/>
          <w:sz w:val="24"/>
          <w:szCs w:val="24"/>
        </w:rPr>
      </w:pPr>
      <w:r>
        <w:rPr>
          <w:rFonts w:ascii="David" w:hAnsi="David" w:cs="David"/>
          <w:b/>
          <w:bCs/>
          <w:color w:val="222222"/>
          <w:sz w:val="24"/>
          <w:szCs w:val="24"/>
          <w:rtl/>
        </w:rPr>
        <w:t>האיש</w:t>
      </w:r>
      <w:r>
        <w:rPr>
          <w:rFonts w:ascii="David" w:hAnsi="David" w:cs="David"/>
          <w:color w:val="222222"/>
          <w:sz w:val="24"/>
          <w:szCs w:val="24"/>
          <w:rtl/>
        </w:rPr>
        <w:t xml:space="preserve"> טוען בכתב ההגנה כי יש לדחות את התביעה. לטענת האיש, תולדה של תביעת האישה היא לאור הגשתו את תביעתו לביטול חיובו במזונות הקטינה ועתירתו לחיוב האישה במזונות האישה </w:t>
      </w:r>
      <w:r>
        <w:rPr>
          <w:rFonts w:ascii="David" w:hAnsi="David" w:cs="David"/>
          <w:sz w:val="24"/>
          <w:szCs w:val="24"/>
          <w:rtl/>
        </w:rPr>
        <w:t>לאור</w:t>
      </w:r>
      <w:r>
        <w:rPr>
          <w:rFonts w:ascii="David" w:hAnsi="David" w:cs="David"/>
          <w:color w:val="222222"/>
          <w:sz w:val="24"/>
          <w:szCs w:val="24"/>
          <w:rtl/>
        </w:rPr>
        <w:t xml:space="preserve"> פערי השתכרות ביניהם. לטענת האיש, האישה מנהלת אורח חיים ראוותני (כטענת האיש בסעיף 44 לכתב ההגנה). בנוסף, מעלה  האיש תמיהה כיצד האישה טוענת שנמצאת בלחץ כלכלי קיומי יש לה הוצאות של עשרות אלפי שקלים בחודש, לא כולל  תשלומים רבים המבוצעים במזומן אשר אינם מוצאים את ביטויים בדפי החשבון. </w:t>
      </w:r>
    </w:p>
    <w:p w:rsidR="00501CE0" w:rsidRDefault="00501CE0" w:rsidP="00501CE0">
      <w:pPr>
        <w:pStyle w:val="af"/>
        <w:shd w:val="clear" w:color="auto" w:fill="FFFFFF"/>
        <w:spacing w:line="330" w:lineRule="atLeast"/>
        <w:ind w:left="567"/>
        <w:jc w:val="both"/>
        <w:rPr>
          <w:rFonts w:ascii="David" w:hAnsi="David" w:cs="David"/>
          <w:color w:val="222222"/>
          <w:sz w:val="24"/>
          <w:szCs w:val="24"/>
          <w:rtl/>
        </w:rPr>
      </w:pPr>
    </w:p>
    <w:p w:rsidR="00501CE0" w:rsidRDefault="00501CE0" w:rsidP="00501CE0">
      <w:pPr>
        <w:pStyle w:val="af"/>
        <w:numPr>
          <w:ilvl w:val="0"/>
          <w:numId w:val="1"/>
        </w:numPr>
        <w:spacing w:after="0" w:line="360" w:lineRule="auto"/>
        <w:jc w:val="both"/>
        <w:rPr>
          <w:rFonts w:ascii="David" w:hAnsi="David" w:cs="David"/>
          <w:color w:val="222222"/>
          <w:sz w:val="24"/>
          <w:szCs w:val="24"/>
        </w:rPr>
      </w:pPr>
      <w:r>
        <w:rPr>
          <w:rFonts w:ascii="David" w:hAnsi="David" w:cs="David"/>
          <w:b/>
          <w:bCs/>
          <w:color w:val="222222"/>
          <w:sz w:val="24"/>
          <w:szCs w:val="24"/>
          <w:rtl/>
        </w:rPr>
        <w:t>אין די בטענה כי השתכרות האיש גבוהה משל האישה על מנת להורות על קביעה חדשה של מזונות הקטינה</w:t>
      </w:r>
      <w:r>
        <w:rPr>
          <w:rFonts w:ascii="David" w:hAnsi="David" w:cs="David"/>
          <w:color w:val="222222"/>
          <w:sz w:val="24"/>
          <w:szCs w:val="24"/>
          <w:rtl/>
        </w:rPr>
        <w:t>. האישה לא הביאה כל ראיה המעידה כי מצבה הכלכלי אינו מאפשר לה לשאת בצרכי הקטינ</w:t>
      </w:r>
      <w:r>
        <w:rPr>
          <w:rFonts w:ascii="David" w:hAnsi="David" w:cs="David"/>
          <w:sz w:val="24"/>
          <w:szCs w:val="24"/>
          <w:rtl/>
        </w:rPr>
        <w:t>ה</w:t>
      </w:r>
      <w:r>
        <w:rPr>
          <w:rFonts w:ascii="David" w:hAnsi="David" w:cs="David"/>
          <w:color w:val="222222"/>
          <w:sz w:val="24"/>
          <w:szCs w:val="24"/>
          <w:rtl/>
        </w:rPr>
        <w:t xml:space="preserve">. דבר הנדרש להוכחת קיפוח זכויות הקטינה. </w:t>
      </w:r>
    </w:p>
    <w:p w:rsidR="00501CE0" w:rsidRDefault="00501CE0" w:rsidP="00501CE0">
      <w:pPr>
        <w:pStyle w:val="af"/>
        <w:rPr>
          <w:rFonts w:ascii="David" w:hAnsi="David" w:cs="David"/>
          <w:color w:val="222222"/>
          <w:sz w:val="24"/>
          <w:szCs w:val="24"/>
        </w:rPr>
      </w:pPr>
    </w:p>
    <w:p w:rsidR="00501CE0" w:rsidRDefault="00501CE0" w:rsidP="00501CE0">
      <w:pPr>
        <w:pStyle w:val="af"/>
        <w:numPr>
          <w:ilvl w:val="0"/>
          <w:numId w:val="1"/>
        </w:numPr>
        <w:spacing w:after="0" w:line="360" w:lineRule="auto"/>
        <w:jc w:val="both"/>
        <w:rPr>
          <w:rFonts w:ascii="David" w:hAnsi="David" w:cs="David"/>
          <w:color w:val="222222"/>
          <w:sz w:val="24"/>
          <w:szCs w:val="24"/>
          <w:rtl/>
        </w:rPr>
      </w:pPr>
      <w:r>
        <w:rPr>
          <w:rFonts w:ascii="David" w:hAnsi="David" w:cs="David"/>
          <w:color w:val="222222"/>
          <w:sz w:val="24"/>
          <w:szCs w:val="24"/>
          <w:rtl/>
        </w:rPr>
        <w:t xml:space="preserve">לא רק שהאם לא הוכיחה הרעה במצבה הכלכלי אלא שבחינת הראיות והעדויות מעלות רמת חיים גבוהה וברווחה שאינה מחסירה מהאם או מהבת דבר. </w:t>
      </w:r>
    </w:p>
    <w:p w:rsidR="00501CE0" w:rsidRDefault="00501CE0" w:rsidP="00501CE0">
      <w:pPr>
        <w:pStyle w:val="af"/>
        <w:shd w:val="clear" w:color="auto" w:fill="FFFFFF"/>
        <w:spacing w:line="330" w:lineRule="atLeast"/>
        <w:ind w:left="567"/>
        <w:jc w:val="both"/>
        <w:rPr>
          <w:rFonts w:ascii="David" w:hAnsi="David" w:cs="David"/>
          <w:sz w:val="24"/>
          <w:szCs w:val="24"/>
        </w:rPr>
      </w:pPr>
    </w:p>
    <w:p w:rsidR="00501CE0" w:rsidRDefault="00501CE0" w:rsidP="00501CE0">
      <w:pPr>
        <w:pStyle w:val="af"/>
        <w:numPr>
          <w:ilvl w:val="0"/>
          <w:numId w:val="1"/>
        </w:numPr>
        <w:spacing w:after="0" w:line="360" w:lineRule="auto"/>
        <w:jc w:val="both"/>
        <w:rPr>
          <w:rFonts w:ascii="David" w:hAnsi="David" w:cs="David"/>
          <w:sz w:val="24"/>
          <w:szCs w:val="24"/>
        </w:rPr>
      </w:pPr>
      <w:r>
        <w:rPr>
          <w:rFonts w:ascii="David" w:hAnsi="David" w:cs="David"/>
          <w:sz w:val="24"/>
          <w:szCs w:val="24"/>
          <w:rtl/>
        </w:rPr>
        <w:lastRenderedPageBreak/>
        <w:t xml:space="preserve">על האישה היה להוכיח כי פערי ההשתכרות בין הצדדים ומצבה הכלכלי שלה בפרט אינם </w:t>
      </w:r>
      <w:r>
        <w:rPr>
          <w:rFonts w:ascii="David" w:hAnsi="David" w:cs="David"/>
          <w:color w:val="222222"/>
          <w:sz w:val="24"/>
          <w:szCs w:val="24"/>
          <w:rtl/>
        </w:rPr>
        <w:t>מאפשרים</w:t>
      </w:r>
      <w:r>
        <w:rPr>
          <w:rFonts w:ascii="David" w:hAnsi="David" w:cs="David"/>
          <w:sz w:val="24"/>
          <w:szCs w:val="24"/>
          <w:rtl/>
        </w:rPr>
        <w:t xml:space="preserve"> לה לשאת בצרכי הקטינה או דורשים תשלום קבוע אחר מאחר שהקטינה אינה מקבלת את צרכיה. זאת לא הוכח על ידה.</w:t>
      </w:r>
    </w:p>
    <w:p w:rsidR="00501CE0" w:rsidRDefault="00501CE0" w:rsidP="00501CE0">
      <w:pPr>
        <w:pStyle w:val="af"/>
        <w:rPr>
          <w:rFonts w:ascii="David" w:hAnsi="David" w:cs="David"/>
          <w:sz w:val="24"/>
          <w:szCs w:val="24"/>
          <w:rtl/>
        </w:rPr>
      </w:pPr>
    </w:p>
    <w:p w:rsidR="00501CE0" w:rsidRDefault="00501CE0" w:rsidP="00501CE0">
      <w:pPr>
        <w:pStyle w:val="af"/>
        <w:numPr>
          <w:ilvl w:val="0"/>
          <w:numId w:val="1"/>
        </w:numPr>
        <w:spacing w:after="0" w:line="360" w:lineRule="auto"/>
        <w:jc w:val="both"/>
        <w:rPr>
          <w:rFonts w:ascii="David" w:hAnsi="David" w:cs="David"/>
          <w:sz w:val="24"/>
          <w:szCs w:val="24"/>
        </w:rPr>
      </w:pPr>
      <w:r>
        <w:rPr>
          <w:rFonts w:ascii="David" w:hAnsi="David" w:cs="David"/>
          <w:sz w:val="24"/>
          <w:szCs w:val="24"/>
          <w:rtl/>
        </w:rPr>
        <w:t xml:space="preserve">שוכנעתי כי צרכיה של הקטינה מסופקים ולא קיימת פגיעה בטובתה. לפסיקת מזונות יש השפעה ישירה על טובתו ועל סיפוק צרכיו של הקטין.  בבע"מ 919/15 בית המשפט העליון שם דגש רב על כך שעקרון טובת הילד חולש גם על סוגיית פסיקת המזונות:  </w:t>
      </w:r>
    </w:p>
    <w:p w:rsidR="00501CE0" w:rsidRDefault="00501CE0" w:rsidP="00501CE0">
      <w:pPr>
        <w:spacing w:line="360" w:lineRule="auto"/>
        <w:ind w:left="1218" w:right="1134"/>
        <w:jc w:val="both"/>
        <w:rPr>
          <w:rFonts w:asciiTheme="minorHAnsi" w:hAnsiTheme="minorHAnsi" w:cstheme="minorBidi"/>
          <w:b/>
          <w:bCs/>
          <w:sz w:val="20"/>
          <w:szCs w:val="22"/>
          <w:rtl/>
        </w:rPr>
      </w:pPr>
      <w:r>
        <w:rPr>
          <w:rFonts w:ascii="David" w:hAnsi="David"/>
          <w:b/>
          <w:bCs/>
          <w:rtl/>
        </w:rPr>
        <w:t xml:space="preserve">"טובת הילד – </w:t>
      </w:r>
      <w:r>
        <w:rPr>
          <w:rFonts w:ascii="David" w:hAnsi="David"/>
          <w:b/>
          <w:bCs/>
          <w:u w:val="single"/>
          <w:rtl/>
        </w:rPr>
        <w:t>"עקרון העל" החולש על סוגיית פסיקת המזונות הוא עקרון טובת הילד.</w:t>
      </w:r>
      <w:r>
        <w:rPr>
          <w:rFonts w:ascii="David" w:hAnsi="David"/>
          <w:b/>
          <w:bCs/>
          <w:rtl/>
        </w:rPr>
        <w:t xml:space="preserve"> עקרון זה משמש מימים ימימה כ"מפתח" לפתרון מחלוקות שונות בתחום דיני המשפחה. כך, נקבע לא פעם כי על אף שהעימות הישיר בעת גירושין הוא בין ההורים לבין עצמם, </w:t>
      </w:r>
      <w:r>
        <w:rPr>
          <w:rFonts w:ascii="David" w:hAnsi="David"/>
          <w:b/>
          <w:bCs/>
          <w:u w:val="single"/>
          <w:rtl/>
        </w:rPr>
        <w:t>השיקול המרכזי שיש לשקול בעת הכרעה בסכסוך הוא טובתו וזכויותיו של הילד</w:t>
      </w:r>
      <w:r>
        <w:rPr>
          <w:rFonts w:ascii="David" w:hAnsi="David"/>
          <w:b/>
          <w:bCs/>
          <w:rtl/>
        </w:rPr>
        <w:t xml:space="preserve">. הדבר מתחייב הן מעקרונות היסוד במשפט הישראלי והן ממחויבותה של ישראל לאמנה הבינלאומית בדבר זכויות הילד מיום 20.11.1989 (להלן: האמנה בדבר זכויות הילד), שאושררה ונכנסה לתוקף בשנת 1991. לכאורה, מה רבותא בכך? מדוע לומר את המובן מאליו? בחרתי בכל זאת להקדים את הדברים משום </w:t>
      </w:r>
      <w:r>
        <w:rPr>
          <w:rFonts w:ascii="David" w:hAnsi="David"/>
          <w:b/>
          <w:bCs/>
          <w:u w:val="single"/>
          <w:rtl/>
        </w:rPr>
        <w:t>שבבואנו ליישם את עקרון השוויון שומה יהיה עלינו לבחור – מבין החלופות שבפנינו – אותה חלופה שתקדם באופן המיטבי את טובת הילדים הנוגעים בדבר, ובכלל זה תבטיח כי לא ייחשפו למצבים של מחסור, מחד גיסא, ואף לא לדין ודברים יומיומי בין ההורים באשר ל"התחשבנות" ביניהם בסוגית ההוצאות, מאידך גיסא</w:t>
      </w:r>
      <w:r>
        <w:rPr>
          <w:rFonts w:ascii="David" w:hAnsi="David"/>
          <w:b/>
          <w:bCs/>
          <w:rtl/>
        </w:rPr>
        <w:t>."</w:t>
      </w:r>
      <w:r>
        <w:rPr>
          <w:b/>
          <w:bCs/>
          <w:sz w:val="20"/>
          <w:rtl/>
        </w:rPr>
        <w:t xml:space="preserve"> </w:t>
      </w:r>
      <w:r>
        <w:rPr>
          <w:sz w:val="20"/>
          <w:rtl/>
        </w:rPr>
        <w:t>(ההדגשות בקו – הוספו).</w:t>
      </w:r>
    </w:p>
    <w:p w:rsidR="00501CE0" w:rsidRDefault="00501CE0" w:rsidP="00501CE0">
      <w:pPr>
        <w:spacing w:line="360" w:lineRule="auto"/>
        <w:ind w:left="567"/>
        <w:jc w:val="both"/>
        <w:rPr>
          <w:rFonts w:ascii="David" w:hAnsi="David"/>
          <w:rtl/>
        </w:rPr>
      </w:pPr>
      <w:r>
        <w:rPr>
          <w:rFonts w:ascii="David" w:hAnsi="David"/>
          <w:rtl/>
        </w:rPr>
        <w:t xml:space="preserve">ראו </w:t>
      </w:r>
      <w:hyperlink w:history="1">
        <w:r>
          <w:rPr>
            <w:rFonts w:ascii="David" w:hAnsi="David"/>
            <w:b/>
            <w:rtl/>
          </w:rPr>
          <w:t>בע"מ 919/15</w:t>
        </w:r>
      </w:hyperlink>
      <w:r>
        <w:rPr>
          <w:rFonts w:ascii="David" w:hAnsi="David"/>
          <w:rtl/>
        </w:rPr>
        <w:t xml:space="preserve"> </w:t>
      </w:r>
      <w:r>
        <w:rPr>
          <w:rFonts w:ascii="Miriam" w:hAnsi="Miriam" w:cs="Miriam"/>
          <w:b/>
          <w:rtl/>
        </w:rPr>
        <w:t>פלוני נ' פלונית</w:t>
      </w:r>
      <w:r>
        <w:rPr>
          <w:rFonts w:ascii="David" w:hAnsi="David"/>
          <w:rtl/>
        </w:rPr>
        <w:t xml:space="preserve">, פסקה 13 לפסק דינה של כב' השופטת </w:t>
      </w:r>
      <w:r>
        <w:rPr>
          <w:rFonts w:ascii="David" w:hAnsi="David"/>
          <w:b/>
          <w:rtl/>
        </w:rPr>
        <w:t>ברק-ארז</w:t>
      </w:r>
      <w:r>
        <w:rPr>
          <w:rFonts w:ascii="David" w:hAnsi="David"/>
          <w:rtl/>
        </w:rPr>
        <w:t xml:space="preserve"> (19.7.2017)</w:t>
      </w:r>
      <w:r>
        <w:rPr>
          <w:rFonts w:ascii="David" w:eastAsia="Calibri" w:hAnsi="David"/>
          <w:rtl/>
        </w:rPr>
        <w:t>.</w:t>
      </w:r>
    </w:p>
    <w:p w:rsidR="00A554A5" w:rsidRDefault="00A554A5" w:rsidP="00A554A5">
      <w:pPr>
        <w:spacing w:line="360" w:lineRule="auto"/>
        <w:jc w:val="both"/>
        <w:rPr>
          <w:rFonts w:ascii="David" w:hAnsi="David"/>
        </w:rPr>
      </w:pPr>
    </w:p>
    <w:p w:rsidR="00501CE0" w:rsidRDefault="00501CE0" w:rsidP="00501CE0">
      <w:pPr>
        <w:pStyle w:val="af"/>
        <w:numPr>
          <w:ilvl w:val="0"/>
          <w:numId w:val="1"/>
        </w:numPr>
        <w:spacing w:after="0" w:line="360" w:lineRule="auto"/>
        <w:jc w:val="both"/>
        <w:rPr>
          <w:rFonts w:ascii="David" w:hAnsi="David"/>
          <w:rtl/>
        </w:rPr>
      </w:pPr>
      <w:r>
        <w:rPr>
          <w:rFonts w:ascii="David" w:hAnsi="David" w:cs="David"/>
          <w:b/>
          <w:bCs/>
          <w:sz w:val="24"/>
          <w:szCs w:val="24"/>
          <w:rtl/>
        </w:rPr>
        <w:t xml:space="preserve">חקירת הצדדים ועדויותיהם מעלה כי הקטינה אינה נתונה במחסור וכי ההתחשבנות בין ההורים מתבצעת באופן הולם, ראוי ומתן מענה כולל ושלם לצרכי הקטינה. </w:t>
      </w:r>
    </w:p>
    <w:p w:rsidR="00501CE0" w:rsidRDefault="00501CE0" w:rsidP="00501CE0">
      <w:pPr>
        <w:pStyle w:val="af"/>
        <w:spacing w:after="0" w:line="360" w:lineRule="auto"/>
        <w:ind w:left="567"/>
        <w:jc w:val="both"/>
        <w:rPr>
          <w:rFonts w:ascii="David" w:hAnsi="David"/>
        </w:rPr>
      </w:pPr>
    </w:p>
    <w:p w:rsidR="00501CE0" w:rsidRDefault="00501CE0" w:rsidP="00501CE0">
      <w:pPr>
        <w:pStyle w:val="af"/>
        <w:numPr>
          <w:ilvl w:val="0"/>
          <w:numId w:val="1"/>
        </w:numPr>
        <w:spacing w:after="0" w:line="360" w:lineRule="auto"/>
        <w:jc w:val="both"/>
        <w:rPr>
          <w:rFonts w:ascii="David" w:hAnsi="David" w:cs="David"/>
          <w:sz w:val="24"/>
          <w:szCs w:val="24"/>
        </w:rPr>
      </w:pPr>
      <w:r>
        <w:rPr>
          <w:rFonts w:ascii="David" w:hAnsi="David" w:cs="David"/>
          <w:sz w:val="24"/>
          <w:szCs w:val="24"/>
          <w:rtl/>
        </w:rPr>
        <w:t xml:space="preserve">האב חזר וטען כי האם הוכיחה בעצמה כי היא לא נזקקת כלל למזונות הקטינה מאחר ומדי חודש היא מפקידה לחסכון בחשבון הבנק שלה סך של 2,000 ₪. עובדה זו מוכיחה לטעמו כי אין צורך בתשלומי מזונות. לאחר בחינת תשובותיה של האם בחקירה (ראו: פרוט' מיום 4.11.2021 עמ' 14-15) – הצגת הדברים על ידי האב אינה מדוייקת. אני סבורה כי האם הוכיחה כי החיסכון נמצא בחשבון הבנק והיה מהדברים עליהם הצהירה ושוכנעתי כי הוא אף ירד. עם </w:t>
      </w:r>
      <w:r>
        <w:rPr>
          <w:rFonts w:ascii="David" w:hAnsi="David" w:cs="David"/>
          <w:sz w:val="24"/>
          <w:szCs w:val="24"/>
          <w:rtl/>
        </w:rPr>
        <w:lastRenderedPageBreak/>
        <w:t xml:space="preserve">זאת ההתרשמות איננה כי האם חיה במחסור אלא חיה חיי רווחה ושפע, שחלקם נובע גם מסיוע הוריה. </w:t>
      </w:r>
    </w:p>
    <w:p w:rsidR="00501CE0" w:rsidRDefault="00501CE0" w:rsidP="00501CE0">
      <w:pPr>
        <w:pStyle w:val="af"/>
        <w:spacing w:after="0" w:line="360" w:lineRule="auto"/>
        <w:ind w:left="567"/>
        <w:jc w:val="both"/>
        <w:rPr>
          <w:rFonts w:ascii="David" w:hAnsi="David" w:cs="David"/>
          <w:sz w:val="24"/>
          <w:szCs w:val="24"/>
          <w:rtl/>
        </w:rPr>
      </w:pPr>
    </w:p>
    <w:p w:rsidR="00A554A5" w:rsidRDefault="00A554A5" w:rsidP="00501CE0">
      <w:pPr>
        <w:pStyle w:val="af"/>
        <w:spacing w:after="0" w:line="360" w:lineRule="auto"/>
        <w:ind w:left="567"/>
        <w:jc w:val="both"/>
        <w:rPr>
          <w:rFonts w:ascii="David" w:hAnsi="David" w:cs="David"/>
          <w:sz w:val="24"/>
          <w:szCs w:val="24"/>
        </w:rPr>
      </w:pPr>
    </w:p>
    <w:p w:rsidR="00501CE0" w:rsidRDefault="00501CE0" w:rsidP="00501CE0">
      <w:pPr>
        <w:pStyle w:val="af"/>
        <w:numPr>
          <w:ilvl w:val="0"/>
          <w:numId w:val="1"/>
        </w:numPr>
        <w:spacing w:after="0" w:line="360" w:lineRule="auto"/>
        <w:jc w:val="both"/>
        <w:rPr>
          <w:rFonts w:ascii="David" w:hAnsi="David" w:cs="David"/>
          <w:sz w:val="24"/>
          <w:szCs w:val="24"/>
        </w:rPr>
      </w:pPr>
      <w:r>
        <w:rPr>
          <w:rFonts w:ascii="David" w:hAnsi="David" w:cs="David"/>
          <w:sz w:val="24"/>
          <w:szCs w:val="24"/>
          <w:rtl/>
        </w:rPr>
        <w:t xml:space="preserve">לכל אלה יש להוסיף כי התביעה להגדלת חיוב האב במזונות הקטינה הוגשה ביום 28.4.2020. התביעה לביטול מזונות הקטינה הוגשה קודם לכן ביום 5.3.2020. ההתרשמות הינה כי התביעה הוגשה כהמשך ישיר ונגדי לתביעת האיש על מנת למנוע ביטול חיוב האב במזונות הקטינה כפי שנקבע בפסק הדין בהסכמה, ולא מאחר וקיימת עילת תביעה ממשית. </w:t>
      </w:r>
    </w:p>
    <w:p w:rsidR="00501CE0" w:rsidRDefault="00501CE0" w:rsidP="00501CE0">
      <w:pPr>
        <w:pStyle w:val="af"/>
        <w:rPr>
          <w:rFonts w:ascii="David" w:hAnsi="David"/>
          <w:rtl/>
        </w:rPr>
      </w:pPr>
    </w:p>
    <w:p w:rsidR="00501CE0" w:rsidRDefault="00501CE0" w:rsidP="00501CE0">
      <w:pPr>
        <w:pStyle w:val="af"/>
        <w:rPr>
          <w:rFonts w:ascii="David" w:hAnsi="David"/>
        </w:rPr>
      </w:pPr>
    </w:p>
    <w:p w:rsidR="00501CE0" w:rsidRDefault="00501CE0" w:rsidP="00501CE0">
      <w:pPr>
        <w:pStyle w:val="af"/>
        <w:numPr>
          <w:ilvl w:val="0"/>
          <w:numId w:val="1"/>
        </w:numPr>
        <w:spacing w:after="0" w:line="360" w:lineRule="auto"/>
        <w:jc w:val="both"/>
        <w:rPr>
          <w:rFonts w:ascii="David" w:hAnsi="David" w:cs="David"/>
          <w:b/>
          <w:bCs/>
          <w:sz w:val="24"/>
          <w:szCs w:val="24"/>
        </w:rPr>
      </w:pPr>
      <w:r>
        <w:rPr>
          <w:rFonts w:ascii="David" w:hAnsi="David" w:cs="David"/>
          <w:b/>
          <w:bCs/>
          <w:sz w:val="24"/>
          <w:szCs w:val="24"/>
          <w:rtl/>
        </w:rPr>
        <w:t xml:space="preserve">בנסיבות ההסכם של צדדים אלה, בית המשפט מחוייב לבחון את התמונה הכוללת על כל מרכיביה ועל הרקמה השלובה והכוללת שבה. בחינה זו מובילה למסקנה כי אין מקום להתערבות בסכום שנקבע ואין מקום לקבוע סכום אחר מחדש. </w:t>
      </w:r>
    </w:p>
    <w:p w:rsidR="00501CE0" w:rsidRDefault="00501CE0" w:rsidP="00501CE0">
      <w:pPr>
        <w:pStyle w:val="af"/>
        <w:rPr>
          <w:rFonts w:ascii="David" w:hAnsi="David"/>
          <w:rtl/>
        </w:rPr>
      </w:pPr>
    </w:p>
    <w:p w:rsidR="00501CE0" w:rsidRDefault="00501CE0" w:rsidP="00501CE0">
      <w:pPr>
        <w:pStyle w:val="af"/>
        <w:numPr>
          <w:ilvl w:val="0"/>
          <w:numId w:val="1"/>
        </w:numPr>
        <w:spacing w:after="0" w:line="360" w:lineRule="auto"/>
        <w:jc w:val="both"/>
        <w:rPr>
          <w:rFonts w:ascii="David" w:hAnsi="David" w:cs="David"/>
          <w:sz w:val="24"/>
          <w:szCs w:val="24"/>
        </w:rPr>
      </w:pPr>
      <w:r>
        <w:rPr>
          <w:rFonts w:ascii="David" w:hAnsi="David" w:cs="David"/>
          <w:sz w:val="24"/>
          <w:szCs w:val="24"/>
          <w:rtl/>
        </w:rPr>
        <w:t>בבג"ץ 4407/12 </w:t>
      </w:r>
      <w:r>
        <w:rPr>
          <w:rFonts w:ascii="Miriam" w:hAnsi="Miriam" w:cs="Miriam"/>
          <w:sz w:val="24"/>
          <w:szCs w:val="24"/>
          <w:rtl/>
        </w:rPr>
        <w:t>פלוני נ' בית הדין הרבני הגדול לערעורים</w:t>
      </w:r>
      <w:r>
        <w:rPr>
          <w:rFonts w:ascii="David" w:hAnsi="David" w:cs="David"/>
          <w:sz w:val="24"/>
          <w:szCs w:val="24"/>
          <w:rtl/>
        </w:rPr>
        <w:t> (7.2.2013) הצביעו כל השופטים על האיזון העדין בין הרצון לעודד הגעה להסכמים לבין דאגה לשמירת זכויות קטינים ואי קיפוחם. באיזון זה הזכות להגשת תביעה עצמאית נשמרת והיא זכות חשובה במאזן הכוחות בין הצדדים. אולם איזון זה לא יכול להיות ללא כל נימוק המבסס כיצד קופחו זכויות הקטינה.</w:t>
      </w:r>
    </w:p>
    <w:p w:rsidR="00501CE0" w:rsidRDefault="00501CE0" w:rsidP="00501CE0">
      <w:pPr>
        <w:pStyle w:val="af"/>
        <w:spacing w:after="0" w:line="360" w:lineRule="auto"/>
        <w:ind w:left="567"/>
        <w:jc w:val="both"/>
        <w:rPr>
          <w:rFonts w:ascii="David" w:hAnsi="David" w:cs="David"/>
          <w:sz w:val="24"/>
          <w:szCs w:val="24"/>
          <w:rtl/>
        </w:rPr>
      </w:pPr>
      <w:r>
        <w:rPr>
          <w:rFonts w:ascii="David" w:hAnsi="David" w:cs="David"/>
          <w:sz w:val="24"/>
          <w:szCs w:val="24"/>
          <w:rtl/>
        </w:rPr>
        <w:t xml:space="preserve">אין להסתפק בטענה כללית כי חל שינוי לרעה במצבה הכלכלי של האם מבלי להוכיח טענה זו כדבעי או לחלופין להסתפק בטענה שמאחר שעסקינן באיש שמצבו הכלכלי השתפר לאין שיעור יש להגדיל את המזונות. </w:t>
      </w:r>
    </w:p>
    <w:p w:rsidR="00501CE0" w:rsidRDefault="00501CE0" w:rsidP="00501CE0">
      <w:pPr>
        <w:pStyle w:val="af"/>
        <w:rPr>
          <w:rFonts w:ascii="David" w:hAnsi="David" w:cs="David"/>
          <w:b/>
          <w:bCs/>
          <w:sz w:val="24"/>
          <w:szCs w:val="24"/>
        </w:rPr>
      </w:pPr>
    </w:p>
    <w:p w:rsidR="00501CE0" w:rsidRDefault="00501CE0" w:rsidP="00501CE0">
      <w:pPr>
        <w:pStyle w:val="af"/>
        <w:numPr>
          <w:ilvl w:val="0"/>
          <w:numId w:val="1"/>
        </w:numPr>
        <w:spacing w:after="0" w:line="360" w:lineRule="auto"/>
        <w:jc w:val="both"/>
        <w:rPr>
          <w:rFonts w:ascii="David" w:hAnsi="David" w:cs="David"/>
          <w:sz w:val="24"/>
          <w:szCs w:val="24"/>
          <w:rtl/>
        </w:rPr>
      </w:pPr>
      <w:r>
        <w:rPr>
          <w:rFonts w:ascii="David" w:hAnsi="David" w:cs="David"/>
          <w:sz w:val="24"/>
          <w:szCs w:val="24"/>
          <w:rtl/>
        </w:rPr>
        <w:t xml:space="preserve">בענייננו לא רק שלא שוכנעתי כי זכויות הקטינה קופחו אלא שוכנעתי כי זכויותיה נלקחו בחשבון (מאוד) והסדר המזונות לקח בחשבון את מכלול ההסכמות – גם לגבי זמני השהות  (אשר הורחבו בהדרגה עד לכי השוואתם) וגם לגבי ההסדרים הרכושיים והממוניים, כך שזכויותיה לא יקופחו אלא ישמרו ויקבלו מענה כולל ושלם. </w:t>
      </w:r>
    </w:p>
    <w:p w:rsidR="00501CE0" w:rsidRDefault="00501CE0" w:rsidP="00501CE0">
      <w:pPr>
        <w:pStyle w:val="af"/>
        <w:rPr>
          <w:rFonts w:ascii="David" w:hAnsi="David" w:cs="David"/>
          <w:sz w:val="24"/>
          <w:szCs w:val="24"/>
        </w:rPr>
      </w:pPr>
    </w:p>
    <w:p w:rsidR="00501CE0" w:rsidRDefault="00501CE0" w:rsidP="00501CE0">
      <w:pPr>
        <w:pStyle w:val="af"/>
        <w:numPr>
          <w:ilvl w:val="0"/>
          <w:numId w:val="1"/>
        </w:numPr>
        <w:spacing w:after="0" w:line="360" w:lineRule="auto"/>
        <w:jc w:val="both"/>
        <w:rPr>
          <w:rFonts w:ascii="David" w:hAnsi="David" w:cs="David"/>
          <w:b/>
          <w:bCs/>
          <w:sz w:val="24"/>
          <w:szCs w:val="24"/>
          <w:rtl/>
        </w:rPr>
      </w:pPr>
      <w:r>
        <w:rPr>
          <w:rFonts w:ascii="David" w:hAnsi="David" w:cs="David"/>
          <w:b/>
          <w:bCs/>
          <w:sz w:val="24"/>
          <w:szCs w:val="24"/>
          <w:rtl/>
        </w:rPr>
        <w:t xml:space="preserve">בסופו של דבר – האם לא הוכיחה תביעה זו ולו במקצת. אין מקום להעלאת מזונות הקטינה וההסכמות בפסק הדין יישארו על כנן. הקטינה אינה מקופחת וזכויותיה נשמרו על ידי הוריה בהסכם. על שני ההורים לדעת בפרט ברמת הקונפליקט שביניהם כי הסכמות יש לקיים. </w:t>
      </w:r>
    </w:p>
    <w:p w:rsidR="00501CE0" w:rsidRDefault="00501CE0" w:rsidP="00501CE0">
      <w:pPr>
        <w:pStyle w:val="af"/>
        <w:rPr>
          <w:rFonts w:ascii="David" w:hAnsi="David" w:cs="David"/>
          <w:b/>
          <w:bCs/>
          <w:sz w:val="24"/>
          <w:szCs w:val="24"/>
          <w:rtl/>
        </w:rPr>
      </w:pPr>
    </w:p>
    <w:p w:rsidR="00501CE0" w:rsidRDefault="00501CE0" w:rsidP="00501CE0">
      <w:pPr>
        <w:shd w:val="clear" w:color="auto" w:fill="FFFFFF"/>
        <w:spacing w:line="293" w:lineRule="atLeast"/>
        <w:jc w:val="both"/>
        <w:rPr>
          <w:rFonts w:ascii="David" w:hAnsi="David"/>
        </w:rPr>
      </w:pPr>
      <w:r>
        <w:rPr>
          <w:rFonts w:ascii="David" w:hAnsi="David"/>
          <w:b/>
          <w:bCs/>
          <w:u w:val="single"/>
          <w:rtl/>
        </w:rPr>
        <w:t>סיכום</w:t>
      </w:r>
    </w:p>
    <w:p w:rsidR="00501CE0" w:rsidRDefault="00501CE0" w:rsidP="00501CE0">
      <w:pPr>
        <w:pStyle w:val="af"/>
        <w:shd w:val="clear" w:color="auto" w:fill="FFFFFF"/>
        <w:spacing w:line="330" w:lineRule="atLeast"/>
        <w:ind w:left="567"/>
        <w:jc w:val="both"/>
        <w:rPr>
          <w:rFonts w:ascii="David" w:hAnsi="David" w:cs="David"/>
          <w:color w:val="FF0000"/>
          <w:sz w:val="24"/>
          <w:szCs w:val="24"/>
          <w:rtl/>
        </w:rPr>
      </w:pPr>
      <w:r>
        <w:rPr>
          <w:rFonts w:ascii="David" w:hAnsi="David" w:cs="David"/>
          <w:b/>
          <w:bCs/>
          <w:color w:val="FF0000"/>
          <w:sz w:val="24"/>
          <w:szCs w:val="24"/>
          <w:rtl/>
        </w:rPr>
        <w:t> </w:t>
      </w:r>
    </w:p>
    <w:p w:rsidR="00501CE0" w:rsidRDefault="00501CE0" w:rsidP="00501CE0">
      <w:pPr>
        <w:pStyle w:val="af"/>
        <w:numPr>
          <w:ilvl w:val="0"/>
          <w:numId w:val="1"/>
        </w:numPr>
        <w:spacing w:after="0" w:line="360" w:lineRule="auto"/>
        <w:jc w:val="both"/>
        <w:rPr>
          <w:rFonts w:ascii="David" w:hAnsi="David" w:cs="David"/>
          <w:b/>
          <w:bCs/>
          <w:sz w:val="24"/>
          <w:szCs w:val="24"/>
          <w:rtl/>
        </w:rPr>
      </w:pPr>
      <w:r>
        <w:rPr>
          <w:rFonts w:ascii="David" w:hAnsi="David" w:cs="David"/>
          <w:b/>
          <w:bCs/>
          <w:sz w:val="24"/>
          <w:szCs w:val="24"/>
          <w:rtl/>
        </w:rPr>
        <w:t>אשר על כן ולאור האמור לעיל דין התביעה של האם למזונות הקטינה - נדחית.</w:t>
      </w:r>
    </w:p>
    <w:p w:rsidR="00501CE0" w:rsidRDefault="00501CE0" w:rsidP="00501CE0">
      <w:pPr>
        <w:pStyle w:val="af"/>
        <w:spacing w:after="0" w:line="360" w:lineRule="auto"/>
        <w:ind w:left="567"/>
        <w:jc w:val="both"/>
        <w:rPr>
          <w:rFonts w:ascii="David" w:hAnsi="David" w:cs="David"/>
          <w:b/>
          <w:bCs/>
          <w:sz w:val="24"/>
          <w:szCs w:val="24"/>
          <w:rtl/>
        </w:rPr>
      </w:pPr>
    </w:p>
    <w:p w:rsidR="00501CE0" w:rsidRDefault="00501CE0" w:rsidP="00501CE0">
      <w:pPr>
        <w:pStyle w:val="af"/>
        <w:numPr>
          <w:ilvl w:val="0"/>
          <w:numId w:val="1"/>
        </w:numPr>
        <w:spacing w:after="0" w:line="360" w:lineRule="auto"/>
        <w:jc w:val="both"/>
        <w:rPr>
          <w:rFonts w:ascii="Arial" w:eastAsia="Times New Roman" w:hAnsi="Arial" w:cs="David"/>
          <w:sz w:val="24"/>
          <w:szCs w:val="24"/>
        </w:rPr>
      </w:pPr>
      <w:r>
        <w:rPr>
          <w:rFonts w:ascii="David" w:hAnsi="David" w:cs="David"/>
          <w:b/>
          <w:bCs/>
          <w:sz w:val="24"/>
          <w:szCs w:val="24"/>
          <w:rtl/>
        </w:rPr>
        <w:lastRenderedPageBreak/>
        <w:t xml:space="preserve">הוצאות ההליך – </w:t>
      </w:r>
      <w:r>
        <w:rPr>
          <w:rFonts w:ascii="Arial" w:eastAsia="Times New Roman" w:hAnsi="Arial" w:cs="David"/>
          <w:sz w:val="24"/>
          <w:szCs w:val="24"/>
          <w:rtl/>
        </w:rPr>
        <w:t>בראיה הכוללת ולאור ההכרעה גם בתביעת האב – סברתי כי טובת הקטינה וטובת ההורים כי לא יהיה חיוב בהוצאות, וכל צד יישא בהוצאותיו.</w:t>
      </w:r>
    </w:p>
    <w:p w:rsidR="00501CE0" w:rsidRDefault="00501CE0" w:rsidP="00501CE0">
      <w:pPr>
        <w:pStyle w:val="af"/>
        <w:spacing w:after="0" w:line="360" w:lineRule="auto"/>
        <w:ind w:left="567"/>
        <w:jc w:val="both"/>
        <w:rPr>
          <w:rFonts w:ascii="David" w:hAnsi="David" w:cs="David"/>
          <w:b/>
          <w:bCs/>
          <w:sz w:val="24"/>
          <w:szCs w:val="24"/>
          <w:rtl/>
        </w:rPr>
      </w:pPr>
    </w:p>
    <w:p w:rsidR="00501CE0" w:rsidRDefault="00501CE0" w:rsidP="00501CE0">
      <w:pPr>
        <w:pStyle w:val="af"/>
        <w:numPr>
          <w:ilvl w:val="0"/>
          <w:numId w:val="1"/>
        </w:numPr>
        <w:spacing w:after="0" w:line="360" w:lineRule="auto"/>
        <w:jc w:val="both"/>
        <w:rPr>
          <w:rFonts w:ascii="David" w:hAnsi="David" w:cs="David"/>
          <w:color w:val="222222"/>
          <w:sz w:val="24"/>
          <w:szCs w:val="24"/>
          <w:rtl/>
        </w:rPr>
      </w:pPr>
      <w:r>
        <w:rPr>
          <w:rFonts w:ascii="David" w:hAnsi="David" w:cs="David"/>
          <w:b/>
          <w:bCs/>
          <w:sz w:val="24"/>
          <w:szCs w:val="24"/>
          <w:rtl/>
        </w:rPr>
        <w:t>ה</w:t>
      </w:r>
      <w:r>
        <w:rPr>
          <w:rFonts w:ascii="David" w:hAnsi="David" w:cs="David"/>
          <w:b/>
          <w:bCs/>
          <w:color w:val="222222"/>
          <w:sz w:val="24"/>
          <w:szCs w:val="24"/>
          <w:u w:val="single"/>
          <w:rtl/>
        </w:rPr>
        <w:t>מזכירות</w:t>
      </w:r>
      <w:r>
        <w:rPr>
          <w:rFonts w:ascii="David" w:hAnsi="David" w:cs="David"/>
          <w:b/>
          <w:bCs/>
          <w:color w:val="222222"/>
          <w:sz w:val="24"/>
          <w:szCs w:val="24"/>
          <w:rtl/>
        </w:rPr>
        <w:t> </w:t>
      </w:r>
      <w:r>
        <w:rPr>
          <w:rFonts w:ascii="David" w:hAnsi="David" w:cs="David"/>
          <w:color w:val="222222"/>
          <w:sz w:val="24"/>
          <w:szCs w:val="24"/>
          <w:rtl/>
        </w:rPr>
        <w:t xml:space="preserve">תסגור את תלה"מ </w:t>
      </w:r>
      <w:r>
        <w:rPr>
          <w:rFonts w:ascii="David" w:hAnsi="David" w:cs="David"/>
          <w:sz w:val="24"/>
          <w:szCs w:val="24"/>
          <w:rtl/>
        </w:rPr>
        <w:t>37653-04-20</w:t>
      </w:r>
      <w:r>
        <w:rPr>
          <w:rFonts w:ascii="David" w:hAnsi="David" w:cs="David"/>
          <w:color w:val="222222"/>
          <w:sz w:val="24"/>
          <w:szCs w:val="24"/>
          <w:rtl/>
        </w:rPr>
        <w:t>.</w:t>
      </w:r>
    </w:p>
    <w:p w:rsidR="00501CE0" w:rsidRDefault="00501CE0" w:rsidP="00501CE0">
      <w:pPr>
        <w:pStyle w:val="af"/>
        <w:rPr>
          <w:rFonts w:ascii="David" w:hAnsi="David" w:cs="David"/>
          <w:color w:val="222222"/>
          <w:sz w:val="24"/>
          <w:szCs w:val="24"/>
        </w:rPr>
      </w:pPr>
    </w:p>
    <w:p w:rsidR="00501CE0" w:rsidRDefault="00501CE0" w:rsidP="00501CE0">
      <w:pPr>
        <w:pStyle w:val="af"/>
        <w:numPr>
          <w:ilvl w:val="0"/>
          <w:numId w:val="1"/>
        </w:numPr>
        <w:spacing w:after="0" w:line="360" w:lineRule="auto"/>
        <w:jc w:val="both"/>
        <w:rPr>
          <w:rFonts w:ascii="David" w:hAnsi="David" w:cs="David"/>
          <w:b/>
          <w:bCs/>
          <w:color w:val="222222"/>
          <w:sz w:val="24"/>
          <w:szCs w:val="24"/>
          <w:u w:val="single"/>
          <w:rtl/>
        </w:rPr>
      </w:pPr>
      <w:r>
        <w:rPr>
          <w:rFonts w:ascii="David" w:hAnsi="David" w:cs="David"/>
          <w:b/>
          <w:bCs/>
          <w:color w:val="222222"/>
          <w:sz w:val="24"/>
          <w:szCs w:val="24"/>
          <w:u w:val="single"/>
          <w:rtl/>
        </w:rPr>
        <w:t xml:space="preserve">טרם חתימה - </w:t>
      </w:r>
      <w:r>
        <w:rPr>
          <w:rFonts w:ascii="David" w:hAnsi="David" w:cs="David"/>
          <w:color w:val="222222"/>
          <w:sz w:val="24"/>
          <w:szCs w:val="24"/>
          <w:rtl/>
        </w:rPr>
        <w:t xml:space="preserve"> תביעות שני ההורים נדחו. מזונות הקטינה נקבעו בהסכם בשנת 2014 לסכום של 2,000 ₪. מצבם של שני ההורים שפיר ואף מעבר לכך. הקטינה זוכה ליחס מושקע ולכל טוב משני הוריה. היא זכאית לכך גם בהמשך. סכום המזונות נפסק ונקבע בהסכמה. הוא משקף את מצבם הכלכלי של ההורים גם היום כמצב טוב</w:t>
      </w:r>
      <w:r w:rsidR="00A554A5">
        <w:rPr>
          <w:rFonts w:ascii="David" w:hAnsi="David" w:cs="David" w:hint="cs"/>
          <w:color w:val="222222"/>
          <w:sz w:val="24"/>
          <w:szCs w:val="24"/>
          <w:rtl/>
        </w:rPr>
        <w:t>,</w:t>
      </w:r>
      <w:r>
        <w:rPr>
          <w:rFonts w:ascii="David" w:hAnsi="David" w:cs="David"/>
          <w:color w:val="222222"/>
          <w:sz w:val="24"/>
          <w:szCs w:val="24"/>
          <w:rtl/>
        </w:rPr>
        <w:t xml:space="preserve"> שמאפשר לקטינה לקבל שפע וביד רחבה.</w:t>
      </w:r>
      <w:r w:rsidR="00A554A5">
        <w:rPr>
          <w:rFonts w:ascii="David" w:hAnsi="David" w:cs="David" w:hint="cs"/>
          <w:color w:val="222222"/>
          <w:sz w:val="24"/>
          <w:szCs w:val="24"/>
          <w:rtl/>
        </w:rPr>
        <w:t xml:space="preserve"> שני ההורים לא הוכיחו את תביעותיהם. לו היו שני ההורים שמים את הקטינה במרכז </w:t>
      </w:r>
      <w:r w:rsidR="00A554A5">
        <w:rPr>
          <w:rFonts w:ascii="David" w:hAnsi="David" w:cs="David"/>
          <w:color w:val="222222"/>
          <w:sz w:val="24"/>
          <w:szCs w:val="24"/>
          <w:rtl/>
        </w:rPr>
        <w:t>–</w:t>
      </w:r>
      <w:r w:rsidR="00A554A5">
        <w:rPr>
          <w:rFonts w:ascii="David" w:hAnsi="David" w:cs="David" w:hint="cs"/>
          <w:color w:val="222222"/>
          <w:sz w:val="24"/>
          <w:szCs w:val="24"/>
          <w:rtl/>
        </w:rPr>
        <w:t xml:space="preserve"> ולא את הקונפליקט </w:t>
      </w:r>
      <w:r w:rsidR="00A554A5">
        <w:rPr>
          <w:rFonts w:ascii="David" w:hAnsi="David" w:cs="David"/>
          <w:color w:val="222222"/>
          <w:sz w:val="24"/>
          <w:szCs w:val="24"/>
          <w:rtl/>
        </w:rPr>
        <w:t>–</w:t>
      </w:r>
      <w:r w:rsidR="00A554A5">
        <w:rPr>
          <w:rFonts w:ascii="David" w:hAnsi="David" w:cs="David" w:hint="cs"/>
          <w:color w:val="222222"/>
          <w:sz w:val="24"/>
          <w:szCs w:val="24"/>
          <w:rtl/>
        </w:rPr>
        <w:t xml:space="preserve"> היו רואים כי הסכום שמשולם אין בו כדי לפגוע או להרע במי מהם אלא רק להיטיב עם הקטינה.</w:t>
      </w:r>
      <w:r>
        <w:rPr>
          <w:rFonts w:ascii="David" w:hAnsi="David" w:cs="David"/>
          <w:color w:val="222222"/>
          <w:sz w:val="24"/>
          <w:szCs w:val="24"/>
          <w:rtl/>
        </w:rPr>
        <w:t xml:space="preserve"> מצב הקונפליקט הנמשך בין ההורים אינו מיטיב עם הקטינה ואינו מיטיב עם ההורים, ששניהם אנשים מרשימים ובעלי יכולות. יש לקוות כי ההורים ישכילו לחשב מסלול מחדש וטרם התחלת סבבים נוספים של הליכים משפטיים ישקלו את הדברים שוב – לטובתם ולטובת הקטינה. </w:t>
      </w:r>
    </w:p>
    <w:p w:rsidR="00501CE0" w:rsidRDefault="00501CE0" w:rsidP="00501CE0">
      <w:pPr>
        <w:pStyle w:val="af"/>
        <w:shd w:val="clear" w:color="auto" w:fill="FFFFFF"/>
        <w:spacing w:line="293" w:lineRule="atLeast"/>
        <w:ind w:left="567"/>
        <w:jc w:val="both"/>
        <w:rPr>
          <w:rFonts w:ascii="David" w:hAnsi="David" w:cs="David"/>
          <w:color w:val="222222"/>
          <w:sz w:val="24"/>
          <w:szCs w:val="24"/>
          <w:rtl/>
        </w:rPr>
      </w:pPr>
      <w:r>
        <w:rPr>
          <w:rFonts w:ascii="David" w:hAnsi="David" w:cs="David"/>
          <w:color w:val="222222"/>
          <w:sz w:val="24"/>
          <w:szCs w:val="24"/>
          <w:rtl/>
        </w:rPr>
        <w:t> </w:t>
      </w: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ח' אב תשפ"ב</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05 אוגוסט 2022</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2F3EF3">
      <w:pPr>
        <w:spacing w:line="360" w:lineRule="auto"/>
        <w:ind w:left="3600" w:firstLine="720"/>
        <w:jc w:val="both"/>
      </w:pPr>
      <w:sdt>
        <w:sdtPr>
          <w:rPr>
            <w:rtl/>
          </w:rPr>
          <w:alias w:val="MergeField"/>
          <w:tag w:val="1237"/>
          <w:id w:val="-158551035"/>
        </w:sdtPr>
        <w:sdtEndPr/>
        <w:sdtContent>
          <w:r w:rsidR="007926FD">
            <w:drawing>
              <wp:inline distT="0" distB="0" distL="0" distR="0" wp14:editId="50D07946">
                <wp:extent cx="1600200"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2" cstate="print">
                          <a:extLst/>
                        </a:blip>
                        <a:stretch>
                          <a:fillRect/>
                        </a:stretch>
                      </pic:blipFill>
                      <pic:spPr>
                        <a:xfrm>
                          <a:off x="0" y="0"/>
                          <a:ext cx="1600200" cy="79057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D364D1">
      <w:pPr>
        <w:spacing w:line="360" w:lineRule="auto"/>
        <w:jc w:val="both"/>
        <w:rPr>
          <w:rFonts w:ascii="Arial" w:hAnsi="Arial"/>
          <w:noProof w:val="0"/>
          <w:rtl/>
        </w:rPr>
      </w:pPr>
      <w:r>
        <w:rPr>
          <w:rFonts w:ascii="Arial" w:hAnsi="Arial" w:hint="cs"/>
          <w:noProof w:val="0"/>
          <w:rtl/>
        </w:rPr>
        <w:t>פסק הדין הותר לפרסום ללא פרטים מזהים בהחלטה מיום 7.9.23.</w:t>
      </w: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13"/>
      <w:footerReference w:type="default" r:id="rId14"/>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3EF3" w:rsidRDefault="002F3EF3">
      <w:r>
        <w:separator/>
      </w:r>
    </w:p>
  </w:endnote>
  <w:endnote w:type="continuationSeparator" w:id="0">
    <w:p w:rsidR="002F3EF3" w:rsidRDefault="002F3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6071D4">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6071D4">
      <w:rPr>
        <w:rStyle w:val="ab"/>
        <w:rtl/>
      </w:rPr>
      <w:t>33</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3EF3" w:rsidRDefault="002F3EF3">
      <w:r>
        <w:separator/>
      </w:r>
    </w:p>
  </w:footnote>
  <w:footnote w:type="continuationSeparator" w:id="0">
    <w:p w:rsidR="002F3EF3" w:rsidRDefault="002F3E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2F3EF3" w:rsidP="007926FD">
          <w:pPr>
            <w:rPr>
              <w:rtl/>
            </w:rPr>
          </w:pPr>
          <w:sdt>
            <w:sdtPr>
              <w:rPr>
                <w:rtl/>
              </w:rPr>
              <w:alias w:val="1170"/>
              <w:tag w:val="1170"/>
              <w:id w:val="-984775694"/>
              <w:text w:multiLine="1"/>
            </w:sdtPr>
            <w:sdtEndPr/>
            <w:sdtContent>
              <w:r w:rsidR="00BD18F5">
                <w:rPr>
                  <w:b/>
                  <w:bCs/>
                  <w:noProof w:val="0"/>
                  <w:sz w:val="26"/>
                  <w:szCs w:val="26"/>
                  <w:rtl/>
                </w:rPr>
                <w:t>תלה"מ</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12412-03-20</w:t>
              </w:r>
            </w:sdtContent>
          </w:sdt>
          <w:r w:rsidR="00011212">
            <w:rPr>
              <w:b/>
              <w:bCs/>
              <w:noProof w:val="0"/>
              <w:sz w:val="26"/>
              <w:szCs w:val="26"/>
              <w:rtl/>
            </w:rPr>
            <w:t xml:space="preserve"> </w:t>
          </w:r>
          <w:sdt>
            <w:sdtPr>
              <w:rPr>
                <w:rtl/>
              </w:rPr>
              <w:alias w:val="1172"/>
              <w:tag w:val="1172"/>
              <w:id w:val="-673653942"/>
              <w:text w:multiLine="1"/>
            </w:sdtPr>
            <w:sdtEndPr/>
            <w:sdtContent>
              <w:r w:rsidR="007926FD">
                <w:rPr>
                  <w:rFonts w:hint="cs"/>
                  <w:b/>
                  <w:bCs/>
                  <w:noProof w:val="0"/>
                  <w:sz w:val="26"/>
                  <w:szCs w:val="26"/>
                  <w:rtl/>
                </w:rPr>
                <w:t xml:space="preserve">פלוני </w:t>
              </w:r>
              <w:r w:rsidR="007926FD">
                <w:rPr>
                  <w:b/>
                  <w:bCs/>
                  <w:noProof w:val="0"/>
                  <w:sz w:val="26"/>
                  <w:szCs w:val="26"/>
                  <w:rtl/>
                </w:rPr>
                <w:t xml:space="preserve">ואח' נ' </w:t>
              </w:r>
              <w:r w:rsidR="007926FD">
                <w:rPr>
                  <w:rFonts w:hint="cs"/>
                  <w:b/>
                  <w:bCs/>
                  <w:noProof w:val="0"/>
                  <w:sz w:val="26"/>
                  <w:szCs w:val="26"/>
                  <w:rtl/>
                </w:rPr>
                <w:t>פלונית</w:t>
              </w:r>
              <w:r w:rsidR="007926FD">
                <w:rPr>
                  <w:b/>
                  <w:bCs/>
                  <w:noProof w:val="0"/>
                  <w:sz w:val="26"/>
                  <w:szCs w:val="26"/>
                  <w:rtl/>
                </w:rPr>
                <w:t xml:space="preserve"> ואח'</w:t>
              </w:r>
            </w:sdtContent>
          </w:sdt>
        </w:p>
        <w:p w:rsidR="00501CE0" w:rsidRDefault="002F3EF3" w:rsidP="007926FD">
          <w:pPr>
            <w:rPr>
              <w:b/>
              <w:bCs/>
              <w:noProof w:val="0"/>
              <w:sz w:val="26"/>
              <w:szCs w:val="26"/>
              <w:rtl/>
            </w:rPr>
          </w:pPr>
          <w:sdt>
            <w:sdtPr>
              <w:rPr>
                <w:rtl/>
              </w:rPr>
              <w:alias w:val="1170"/>
              <w:tag w:val="1170"/>
              <w:id w:val="1483118634"/>
              <w:text w:multiLine="1"/>
            </w:sdtPr>
            <w:sdtEndPr/>
            <w:sdtContent>
              <w:r w:rsidR="00501CE0">
                <w:rPr>
                  <w:b/>
                  <w:bCs/>
                  <w:noProof w:val="0"/>
                  <w:sz w:val="26"/>
                  <w:szCs w:val="26"/>
                  <w:rtl/>
                </w:rPr>
                <w:t>תלה"מ</w:t>
              </w:r>
            </w:sdtContent>
          </w:sdt>
          <w:r w:rsidR="00501CE0">
            <w:rPr>
              <w:b/>
              <w:bCs/>
              <w:noProof w:val="0"/>
              <w:sz w:val="26"/>
              <w:szCs w:val="26"/>
              <w:rtl/>
            </w:rPr>
            <w:t xml:space="preserve"> </w:t>
          </w:r>
          <w:sdt>
            <w:sdtPr>
              <w:rPr>
                <w:rtl/>
              </w:rPr>
              <w:alias w:val="1171"/>
              <w:tag w:val="1171"/>
              <w:id w:val="-453095874"/>
              <w:text w:multiLine="1"/>
            </w:sdtPr>
            <w:sdtEndPr/>
            <w:sdtContent>
              <w:r w:rsidR="00501CE0">
                <w:rPr>
                  <w:rFonts w:hint="cs"/>
                  <w:b/>
                  <w:bCs/>
                  <w:noProof w:val="0"/>
                  <w:sz w:val="26"/>
                  <w:szCs w:val="26"/>
                  <w:rtl/>
                </w:rPr>
                <w:t>37653</w:t>
              </w:r>
              <w:r w:rsidR="00501CE0">
                <w:rPr>
                  <w:b/>
                  <w:bCs/>
                  <w:noProof w:val="0"/>
                  <w:sz w:val="26"/>
                  <w:szCs w:val="26"/>
                  <w:rtl/>
                </w:rPr>
                <w:t>-</w:t>
              </w:r>
              <w:r w:rsidR="00501CE0">
                <w:rPr>
                  <w:rFonts w:hint="cs"/>
                  <w:b/>
                  <w:bCs/>
                  <w:noProof w:val="0"/>
                  <w:sz w:val="26"/>
                  <w:szCs w:val="26"/>
                  <w:rtl/>
                </w:rPr>
                <w:t>04</w:t>
              </w:r>
              <w:r w:rsidR="00501CE0">
                <w:rPr>
                  <w:b/>
                  <w:bCs/>
                  <w:noProof w:val="0"/>
                  <w:sz w:val="26"/>
                  <w:szCs w:val="26"/>
                  <w:rtl/>
                </w:rPr>
                <w:t>-20</w:t>
              </w:r>
            </w:sdtContent>
          </w:sdt>
          <w:r w:rsidR="00501CE0">
            <w:rPr>
              <w:b/>
              <w:bCs/>
              <w:noProof w:val="0"/>
              <w:sz w:val="26"/>
              <w:szCs w:val="26"/>
              <w:rtl/>
            </w:rPr>
            <w:t xml:space="preserve"> </w:t>
          </w:r>
          <w:sdt>
            <w:sdtPr>
              <w:rPr>
                <w:rtl/>
              </w:rPr>
              <w:alias w:val="1172"/>
              <w:tag w:val="1172"/>
              <w:id w:val="-356659190"/>
              <w:text w:multiLine="1"/>
            </w:sdtPr>
            <w:sdtEndPr/>
            <w:sdtContent>
              <w:r w:rsidR="007926FD">
                <w:rPr>
                  <w:rFonts w:hint="cs"/>
                  <w:b/>
                  <w:bCs/>
                  <w:noProof w:val="0"/>
                  <w:sz w:val="26"/>
                  <w:szCs w:val="26"/>
                  <w:rtl/>
                </w:rPr>
                <w:t>פלונית</w:t>
              </w:r>
              <w:r w:rsidR="007926FD">
                <w:rPr>
                  <w:b/>
                  <w:bCs/>
                  <w:noProof w:val="0"/>
                  <w:sz w:val="26"/>
                  <w:szCs w:val="26"/>
                  <w:rtl/>
                </w:rPr>
                <w:t xml:space="preserve"> ואח' נ' </w:t>
              </w:r>
              <w:r w:rsidR="007926FD">
                <w:rPr>
                  <w:rFonts w:hint="cs"/>
                  <w:b/>
                  <w:bCs/>
                  <w:noProof w:val="0"/>
                  <w:sz w:val="26"/>
                  <w:szCs w:val="26"/>
                  <w:rtl/>
                </w:rPr>
                <w:t>פלוני</w:t>
              </w:r>
              <w:r w:rsidR="007926FD">
                <w:rPr>
                  <w:b/>
                  <w:bCs/>
                  <w:noProof w:val="0"/>
                  <w:sz w:val="26"/>
                  <w:szCs w:val="26"/>
                  <w:rtl/>
                </w:rPr>
                <w:t xml:space="preserve"> ואח'</w:t>
              </w:r>
            </w:sdtContent>
          </w:sdt>
        </w:p>
        <w:p w:rsidR="00501CE0" w:rsidRDefault="00501CE0">
          <w:pPr>
            <w:rPr>
              <w:b/>
              <w:bCs/>
              <w:noProof w:val="0"/>
              <w:sz w:val="26"/>
              <w:szCs w:val="26"/>
              <w:rtl/>
            </w:rPr>
          </w:pPr>
        </w:p>
        <w:p w:rsidR="002914D6" w:rsidRDefault="002914D6">
          <w:pPr>
            <w:rPr>
              <w:rtl/>
            </w:rPr>
          </w:pPr>
        </w:p>
      </w:tc>
    </w:tr>
  </w:tbl>
  <w:p w:rsidR="002914D6" w:rsidRDefault="002914D6" w:rsidP="00661A3A">
    <w:pPr>
      <w:pStyle w:val="a3"/>
      <w:rPr>
        <w:noProof w:val="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44F50"/>
    <w:multiLevelType w:val="hybridMultilevel"/>
    <w:tmpl w:val="113A606A"/>
    <w:lvl w:ilvl="0" w:tplc="74882842">
      <w:start w:val="1"/>
      <w:numFmt w:val="hebrew1"/>
      <w:lvlText w:val="%1."/>
      <w:lvlJc w:val="left"/>
      <w:pPr>
        <w:ind w:left="720" w:hanging="360"/>
      </w:pPr>
      <w:rPr>
        <w:b/>
        <w:bCs/>
        <w:sz w:val="28"/>
        <w:szCs w:val="28"/>
      </w:rPr>
    </w:lvl>
    <w:lvl w:ilvl="1" w:tplc="B7106FFA">
      <w:start w:val="1"/>
      <w:numFmt w:val="lowerLetter"/>
      <w:lvlText w:val="%2."/>
      <w:lvlJc w:val="left"/>
      <w:pPr>
        <w:ind w:left="1440" w:hanging="360"/>
      </w:pPr>
    </w:lvl>
    <w:lvl w:ilvl="2" w:tplc="2CDEBA44">
      <w:start w:val="1"/>
      <w:numFmt w:val="lowerRoman"/>
      <w:lvlText w:val="%3."/>
      <w:lvlJc w:val="right"/>
      <w:pPr>
        <w:ind w:left="2160" w:hanging="180"/>
      </w:pPr>
    </w:lvl>
    <w:lvl w:ilvl="3" w:tplc="54524738">
      <w:start w:val="1"/>
      <w:numFmt w:val="decimal"/>
      <w:lvlText w:val="%4."/>
      <w:lvlJc w:val="left"/>
      <w:pPr>
        <w:ind w:left="2880" w:hanging="360"/>
      </w:pPr>
    </w:lvl>
    <w:lvl w:ilvl="4" w:tplc="7BA00E1E">
      <w:start w:val="1"/>
      <w:numFmt w:val="lowerLetter"/>
      <w:lvlText w:val="%5."/>
      <w:lvlJc w:val="left"/>
      <w:pPr>
        <w:ind w:left="3600" w:hanging="360"/>
      </w:pPr>
    </w:lvl>
    <w:lvl w:ilvl="5" w:tplc="0142B7C6">
      <w:start w:val="1"/>
      <w:numFmt w:val="lowerRoman"/>
      <w:lvlText w:val="%6."/>
      <w:lvlJc w:val="right"/>
      <w:pPr>
        <w:ind w:left="4320" w:hanging="180"/>
      </w:pPr>
    </w:lvl>
    <w:lvl w:ilvl="6" w:tplc="B2F28AA6">
      <w:start w:val="1"/>
      <w:numFmt w:val="decimal"/>
      <w:lvlText w:val="%7."/>
      <w:lvlJc w:val="left"/>
      <w:pPr>
        <w:ind w:left="5040" w:hanging="360"/>
      </w:pPr>
    </w:lvl>
    <w:lvl w:ilvl="7" w:tplc="9E4EA632">
      <w:start w:val="1"/>
      <w:numFmt w:val="lowerLetter"/>
      <w:lvlText w:val="%8."/>
      <w:lvlJc w:val="left"/>
      <w:pPr>
        <w:ind w:left="5760" w:hanging="360"/>
      </w:pPr>
    </w:lvl>
    <w:lvl w:ilvl="8" w:tplc="66E4D97C">
      <w:start w:val="1"/>
      <w:numFmt w:val="lowerRoman"/>
      <w:lvlText w:val="%9."/>
      <w:lvlJc w:val="right"/>
      <w:pPr>
        <w:ind w:left="6480" w:hanging="180"/>
      </w:pPr>
    </w:lvl>
  </w:abstractNum>
  <w:abstractNum w:abstractNumId="1" w15:restartNumberingAfterBreak="0">
    <w:nsid w:val="31024942"/>
    <w:multiLevelType w:val="hybridMultilevel"/>
    <w:tmpl w:val="69D45198"/>
    <w:lvl w:ilvl="0" w:tplc="84DC5A5E">
      <w:start w:val="1"/>
      <w:numFmt w:val="bullet"/>
      <w:lvlText w:val=""/>
      <w:lvlJc w:val="left"/>
      <w:pPr>
        <w:ind w:left="1287" w:hanging="360"/>
      </w:pPr>
      <w:rPr>
        <w:rFonts w:ascii="Wingdings" w:hAnsi="Wingdings"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 w15:restartNumberingAfterBreak="0">
    <w:nsid w:val="38F4248F"/>
    <w:multiLevelType w:val="hybridMultilevel"/>
    <w:tmpl w:val="FE9068A4"/>
    <w:lvl w:ilvl="0" w:tplc="B468AFC0">
      <w:start w:val="1"/>
      <w:numFmt w:val="decimal"/>
      <w:lvlText w:val="%1."/>
      <w:lvlJc w:val="left"/>
      <w:pPr>
        <w:ind w:left="567" w:hanging="567"/>
      </w:pPr>
      <w:rPr>
        <w:rFonts w:ascii="David" w:hAnsi="David" w:cs="David" w:hint="default"/>
        <w:b w:val="0"/>
        <w:bCs w:val="0"/>
        <w:sz w:val="24"/>
        <w:szCs w:val="24"/>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cumentProtection w:edit="readOnly" w:enforcement="1" w:cryptProviderType="rsaAES" w:cryptAlgorithmClass="hash" w:cryptAlgorithmType="typeAny" w:cryptAlgorithmSid="14" w:cryptSpinCount="100000" w:hash="Bc8Fa93JDWE8bxFoGhebeZQ2s0na8WIOVRpuZhSQReQgOmf3PkP9xLkg9eDvKRJRy4fUDVmZ1mDBmQ4796jfFw==" w:salt="4MX7EYbPIoDmwTZy7gKtww=="/>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207D49"/>
    <w:rsid w:val="00257B8B"/>
    <w:rsid w:val="00265648"/>
    <w:rsid w:val="002914D6"/>
    <w:rsid w:val="00291D73"/>
    <w:rsid w:val="002F3EF3"/>
    <w:rsid w:val="002F5307"/>
    <w:rsid w:val="004246AE"/>
    <w:rsid w:val="004A67A1"/>
    <w:rsid w:val="00501CE0"/>
    <w:rsid w:val="006071D4"/>
    <w:rsid w:val="00661A3A"/>
    <w:rsid w:val="00666802"/>
    <w:rsid w:val="006C4051"/>
    <w:rsid w:val="007926FD"/>
    <w:rsid w:val="007C1077"/>
    <w:rsid w:val="007C6BD7"/>
    <w:rsid w:val="007D369E"/>
    <w:rsid w:val="00822AA5"/>
    <w:rsid w:val="0091072C"/>
    <w:rsid w:val="009108D7"/>
    <w:rsid w:val="009421DC"/>
    <w:rsid w:val="00A554A5"/>
    <w:rsid w:val="00AB4BF0"/>
    <w:rsid w:val="00B1180C"/>
    <w:rsid w:val="00B323BB"/>
    <w:rsid w:val="00BD18F5"/>
    <w:rsid w:val="00BD5B6B"/>
    <w:rsid w:val="00C22246"/>
    <w:rsid w:val="00C40239"/>
    <w:rsid w:val="00C87255"/>
    <w:rsid w:val="00C931BD"/>
    <w:rsid w:val="00D358FE"/>
    <w:rsid w:val="00D364D1"/>
    <w:rsid w:val="00D54B3A"/>
    <w:rsid w:val="00DF1798"/>
    <w:rsid w:val="00E9298F"/>
    <w:rsid w:val="00F047AE"/>
    <w:rsid w:val="00F24CFC"/>
    <w:rsid w:val="00F50E07"/>
    <w:rsid w:val="00F706EB"/>
    <w:rsid w:val="00FC3D4E"/>
    <w:rsid w:val="00FE7653"/>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5:docId w15:val="{04517D20-64B8-4CEC-9C49-852351053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Title"/>
    <w:basedOn w:val="a"/>
    <w:link w:val="ae"/>
    <w:qFormat/>
    <w:rsid w:val="00501CE0"/>
    <w:pPr>
      <w:shd w:val="pct20" w:color="auto" w:fill="FFFFFF"/>
      <w:spacing w:line="480" w:lineRule="auto"/>
      <w:ind w:left="1701" w:hanging="1701"/>
      <w:jc w:val="center"/>
    </w:pPr>
    <w:rPr>
      <w:rFonts w:cs="Times New Roman"/>
      <w:b/>
      <w:bCs/>
      <w:noProof w:val="0"/>
      <w:sz w:val="20"/>
      <w:szCs w:val="28"/>
      <w:u w:val="single"/>
      <w:lang w:eastAsia="he-IL"/>
    </w:rPr>
  </w:style>
  <w:style w:type="character" w:customStyle="1" w:styleId="ae">
    <w:name w:val="כותרת טקסט תו"/>
    <w:basedOn w:val="a0"/>
    <w:link w:val="ad"/>
    <w:rsid w:val="00501CE0"/>
    <w:rPr>
      <w:b/>
      <w:bCs/>
      <w:szCs w:val="28"/>
      <w:u w:val="single"/>
      <w:shd w:val="pct20" w:color="auto" w:fill="FFFFFF"/>
      <w:lang w:eastAsia="he-IL"/>
    </w:rPr>
  </w:style>
  <w:style w:type="paragraph" w:styleId="af">
    <w:name w:val="List Paragraph"/>
    <w:basedOn w:val="a"/>
    <w:uiPriority w:val="34"/>
    <w:qFormat/>
    <w:rsid w:val="00501CE0"/>
    <w:pPr>
      <w:spacing w:after="160" w:line="252" w:lineRule="auto"/>
      <w:ind w:left="720"/>
      <w:contextualSpacing/>
    </w:pPr>
    <w:rPr>
      <w:rFonts w:asciiTheme="minorHAnsi" w:eastAsiaTheme="minorHAnsi" w:hAnsiTheme="minorHAnsi" w:cstheme="minorBidi"/>
      <w:noProof w:val="0"/>
      <w:sz w:val="22"/>
      <w:szCs w:val="22"/>
    </w:rPr>
  </w:style>
  <w:style w:type="paragraph" w:customStyle="1" w:styleId="a00">
    <w:name w:val="a0"/>
    <w:basedOn w:val="a"/>
    <w:rsid w:val="00501CE0"/>
    <w:pPr>
      <w:bidi w:val="0"/>
      <w:spacing w:before="100" w:beforeAutospacing="1" w:after="100" w:afterAutospacing="1"/>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443622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33</Pages>
  <Words>8922</Words>
  <Characters>44610</Characters>
  <Application>Microsoft Office Word</Application>
  <DocSecurity>8</DocSecurity>
  <Lines>371</Lines>
  <Paragraphs>106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2023-10-26T08:23:00Z</dcterms:created>
  <dcterms:modified xsi:type="dcterms:W3CDTF">2023-10-26T08:23:00Z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ssemblyLocation">
    <vt:lpwstr>C:\Program Files\NGCS\NGCS.Common.WordTemplate.vsto|a6b55e7c-583a-4154-845d-901f18a53e62|vstolocal</vt:lpwstr>
  </property>
  <property fmtid="{D5CDD505-2E9C-101B-9397-08002B2CF9AE}" pid="3" name="_AssemblyName">
    <vt:lpwstr>4E3C66D5-58D4-491E-A7D4-64AF99AF6E8B</vt:lpwstr>
  </property>
</Properties>
</file>